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1"/>
        <w:tblpPr w:leftFromText="180" w:rightFromText="180" w:vertAnchor="page" w:horzAnchor="margin" w:tblpY="114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F6702E" w:rsidRPr="00F3309C" w14:paraId="5D7493B3" w14:textId="77777777" w:rsidTr="00F67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25F4F5E" w14:textId="6859A6CB" w:rsidR="00F6702E" w:rsidRPr="00F3309C" w:rsidRDefault="00F6702E" w:rsidP="00F6702E">
            <w:pPr>
              <w:jc w:val="center"/>
              <w:rPr>
                <w:rFonts w:ascii="Open Sans" w:eastAsia="Calibri" w:hAnsi="Open Sans" w:cs="Open Sans"/>
                <w:color w:val="2F5496" w:themeColor="accent1" w:themeShade="BF"/>
                <w:sz w:val="36"/>
                <w:szCs w:val="36"/>
                <w:lang w:val="en-GB"/>
              </w:rPr>
            </w:pPr>
            <w:r w:rsidRPr="00F3309C">
              <w:rPr>
                <w:rFonts w:ascii="Open Sans" w:eastAsia="Calibri" w:hAnsi="Open Sans" w:cs="Open Sans"/>
                <w:color w:val="2F5496" w:themeColor="accent1" w:themeShade="BF"/>
                <w:sz w:val="36"/>
                <w:szCs w:val="36"/>
                <w:lang w:val="en-GB"/>
              </w:rPr>
              <w:t>COVID-19 — Q14</w:t>
            </w:r>
            <w:r w:rsidR="00295472">
              <w:rPr>
                <w:rFonts w:ascii="Open Sans" w:eastAsia="Calibri" w:hAnsi="Open Sans" w:cs="Open Sans"/>
                <w:color w:val="2F5496" w:themeColor="accent1" w:themeShade="BF"/>
                <w:sz w:val="36"/>
                <w:szCs w:val="36"/>
                <w:lang w:val="en-GB"/>
              </w:rPr>
              <w:t xml:space="preserve"> PRE-</w:t>
            </w:r>
            <w:r w:rsidRPr="00F3309C">
              <w:rPr>
                <w:rFonts w:ascii="Open Sans" w:eastAsia="Calibri" w:hAnsi="Open Sans" w:cs="Open Sans"/>
                <w:color w:val="2F5496" w:themeColor="accent1" w:themeShade="BF"/>
                <w:sz w:val="36"/>
                <w:szCs w:val="36"/>
                <w:lang w:val="en-GB"/>
              </w:rPr>
              <w:t xml:space="preserve">TRAVEL PROCEDURE </w:t>
            </w:r>
          </w:p>
        </w:tc>
      </w:tr>
    </w:tbl>
    <w:p w14:paraId="678291D5" w14:textId="77777777" w:rsidR="00A87593" w:rsidRPr="00F3309C" w:rsidRDefault="00A87593" w:rsidP="00A87593">
      <w:pPr>
        <w:rPr>
          <w:lang w:val="en-GB"/>
        </w:rPr>
      </w:pPr>
    </w:p>
    <w:p w14:paraId="46EADC50" w14:textId="3B08CFC7" w:rsidR="00BE4999" w:rsidRPr="00F3309C" w:rsidRDefault="00BE4999" w:rsidP="00BE4999">
      <w:pPr>
        <w:jc w:val="both"/>
        <w:rPr>
          <w:rFonts w:ascii="Open Sans" w:eastAsia="Calibri" w:hAnsi="Open Sans" w:cs="Open Sans"/>
          <w:color w:val="2F5496" w:themeColor="accent1" w:themeShade="BF"/>
          <w:lang w:val="en-GB"/>
        </w:rPr>
      </w:pPr>
      <w:r w:rsidRPr="00F3309C">
        <w:rPr>
          <w:rFonts w:ascii="Open Sans" w:eastAsia="Calibri" w:hAnsi="Open Sans" w:cs="Open Sans"/>
          <w:color w:val="2F5496" w:themeColor="accent1" w:themeShade="BF"/>
          <w:lang w:val="en-GB"/>
        </w:rPr>
        <w:t>Purpose &amp; Background</w:t>
      </w:r>
    </w:p>
    <w:p w14:paraId="284ED8D6" w14:textId="5C115F21" w:rsidR="001E4D17" w:rsidRPr="00F3309C" w:rsidRDefault="00BE4999" w:rsidP="00C11686">
      <w:pPr>
        <w:autoSpaceDE w:val="0"/>
        <w:autoSpaceDN w:val="0"/>
        <w:spacing w:after="120"/>
        <w:jc w:val="both"/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This </w:t>
      </w:r>
      <w:r w:rsidR="00CB7DA9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Standard Operating Procedure (SOP) is </w:t>
      </w:r>
      <w:r w:rsidR="00600D89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intended</w:t>
      </w:r>
      <w:r w:rsidR="00727DA9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="00CB7DA9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to provide guidance to </w:t>
      </w:r>
      <w:r w:rsidR="00B93883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passenger</w:t>
      </w:r>
      <w:r w:rsidR="00295472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s</w:t>
      </w:r>
      <w:r w:rsidR="00564822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="002900CF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intending to </w:t>
      </w:r>
      <w:r w:rsidR="00295472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travel </w:t>
      </w:r>
      <w:r w:rsidR="001E4D17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interstate out of Juba on essential mission.</w:t>
      </w:r>
      <w:r w:rsidR="00295472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The guidance can be also adapted for the purpose of monitoring and verifying post-travel Q14 upon </w:t>
      </w:r>
      <w:r w:rsidR="00295472" w:rsidRPr="00295472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return</w:t>
      </w:r>
      <w:r w:rsidR="00295472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ing</w:t>
      </w:r>
      <w:r w:rsidR="00295472" w:rsidRPr="00295472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internationally by air into South Sudan</w:t>
      </w:r>
      <w:r w:rsidR="00295472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or returning to field locations based on location-specific directives.</w:t>
      </w:r>
    </w:p>
    <w:p w14:paraId="1ADB1E2D" w14:textId="63B16A7B" w:rsidR="00532421" w:rsidRPr="00F3309C" w:rsidRDefault="00532421" w:rsidP="00C11686">
      <w:pPr>
        <w:autoSpaceDE w:val="0"/>
        <w:autoSpaceDN w:val="0"/>
        <w:spacing w:after="120"/>
        <w:jc w:val="both"/>
        <w:rPr>
          <w:rFonts w:ascii="Open Sans" w:hAnsi="Open Sans" w:cs="Open Sans"/>
          <w:color w:val="000000"/>
          <w:sz w:val="20"/>
          <w:szCs w:val="20"/>
          <w:lang w:val="en-GB"/>
        </w:rPr>
      </w:pPr>
      <w:r w:rsidRPr="00F3309C">
        <w:rPr>
          <w:rFonts w:ascii="Open Sans" w:hAnsi="Open Sans" w:cs="Open Sans"/>
          <w:color w:val="000000"/>
          <w:sz w:val="20"/>
          <w:szCs w:val="20"/>
          <w:lang w:val="en-GB"/>
        </w:rPr>
        <w:t xml:space="preserve">This </w:t>
      </w:r>
      <w:r w:rsidR="006418C6" w:rsidRPr="00F3309C">
        <w:rPr>
          <w:rFonts w:ascii="Open Sans" w:hAnsi="Open Sans" w:cs="Open Sans"/>
          <w:color w:val="000000"/>
          <w:sz w:val="20"/>
          <w:szCs w:val="20"/>
          <w:lang w:val="en-GB"/>
        </w:rPr>
        <w:t xml:space="preserve">SOP </w:t>
      </w:r>
      <w:r w:rsidRPr="00F3309C">
        <w:rPr>
          <w:rFonts w:ascii="Open Sans" w:hAnsi="Open Sans" w:cs="Open Sans"/>
          <w:color w:val="000000"/>
          <w:sz w:val="20"/>
          <w:szCs w:val="20"/>
          <w:lang w:val="en-GB"/>
        </w:rPr>
        <w:t xml:space="preserve">is in line with the </w:t>
      </w:r>
      <w:r w:rsidR="00600D89" w:rsidRPr="00F3309C">
        <w:rPr>
          <w:rFonts w:ascii="Open Sans" w:hAnsi="Open Sans" w:cs="Open Sans"/>
          <w:color w:val="000000"/>
          <w:sz w:val="20"/>
          <w:szCs w:val="20"/>
          <w:lang w:val="en-GB"/>
        </w:rPr>
        <w:t>High-Level</w:t>
      </w:r>
      <w:r w:rsidRPr="00F3309C">
        <w:rPr>
          <w:rFonts w:ascii="Open Sans" w:hAnsi="Open Sans" w:cs="Open Sans"/>
          <w:color w:val="000000"/>
          <w:sz w:val="20"/>
          <w:szCs w:val="20"/>
          <w:lang w:val="en-GB"/>
        </w:rPr>
        <w:t xml:space="preserve"> Task Force (HLTF) </w:t>
      </w:r>
      <w:r w:rsidR="00310B38" w:rsidRPr="00F3309C">
        <w:rPr>
          <w:rFonts w:ascii="Open Sans" w:hAnsi="Open Sans" w:cs="Open Sans"/>
          <w:color w:val="000000"/>
          <w:sz w:val="20"/>
          <w:szCs w:val="20"/>
          <w:lang w:val="en-GB"/>
        </w:rPr>
        <w:t>D</w:t>
      </w:r>
      <w:r w:rsidRPr="00F3309C">
        <w:rPr>
          <w:rFonts w:ascii="Open Sans" w:hAnsi="Open Sans" w:cs="Open Sans"/>
          <w:color w:val="000000"/>
          <w:sz w:val="20"/>
          <w:szCs w:val="20"/>
          <w:lang w:val="en-GB"/>
        </w:rPr>
        <w:t>irective</w:t>
      </w:r>
      <w:r w:rsidR="00727DA9" w:rsidRPr="00F3309C">
        <w:rPr>
          <w:rFonts w:ascii="Open Sans" w:hAnsi="Open Sans" w:cs="Open Sans"/>
          <w:color w:val="000000"/>
          <w:sz w:val="20"/>
          <w:szCs w:val="20"/>
          <w:lang w:val="en-GB"/>
        </w:rPr>
        <w:t xml:space="preserve"> </w:t>
      </w:r>
      <w:r w:rsidR="00600D89" w:rsidRPr="00F3309C">
        <w:rPr>
          <w:rFonts w:ascii="Open Sans" w:hAnsi="Open Sans" w:cs="Open Sans"/>
          <w:color w:val="000000"/>
          <w:sz w:val="20"/>
          <w:szCs w:val="20"/>
          <w:lang w:val="en-GB"/>
        </w:rPr>
        <w:t xml:space="preserve">N. 44 </w:t>
      </w:r>
      <w:r w:rsidR="00727DA9" w:rsidRPr="00F3309C">
        <w:rPr>
          <w:rFonts w:ascii="Open Sans" w:hAnsi="Open Sans" w:cs="Open Sans"/>
          <w:color w:val="000000"/>
          <w:sz w:val="20"/>
          <w:szCs w:val="20"/>
          <w:lang w:val="en-GB"/>
        </w:rPr>
        <w:t xml:space="preserve">dated </w:t>
      </w:r>
      <w:r w:rsidR="00600D89" w:rsidRPr="00F3309C">
        <w:rPr>
          <w:rFonts w:ascii="Open Sans" w:hAnsi="Open Sans" w:cs="Open Sans"/>
          <w:color w:val="000000"/>
          <w:sz w:val="20"/>
          <w:szCs w:val="20"/>
          <w:lang w:val="en-GB"/>
        </w:rPr>
        <w:t>May</w:t>
      </w:r>
      <w:r w:rsidR="00727DA9" w:rsidRPr="00F3309C">
        <w:rPr>
          <w:rFonts w:ascii="Open Sans" w:hAnsi="Open Sans" w:cs="Open Sans"/>
          <w:color w:val="000000"/>
          <w:sz w:val="20"/>
          <w:szCs w:val="20"/>
          <w:lang w:val="en-GB"/>
        </w:rPr>
        <w:t xml:space="preserve"> 1</w:t>
      </w:r>
      <w:r w:rsidR="00727DA9" w:rsidRPr="00F3309C">
        <w:rPr>
          <w:rFonts w:ascii="Open Sans" w:hAnsi="Open Sans" w:cs="Open Sans"/>
          <w:color w:val="000000"/>
          <w:sz w:val="20"/>
          <w:szCs w:val="20"/>
          <w:vertAlign w:val="superscript"/>
          <w:lang w:val="en-GB"/>
        </w:rPr>
        <w:t>st</w:t>
      </w:r>
      <w:r w:rsidR="00727DA9" w:rsidRPr="00F3309C">
        <w:rPr>
          <w:rFonts w:ascii="Open Sans" w:hAnsi="Open Sans" w:cs="Open Sans"/>
          <w:color w:val="000000"/>
          <w:sz w:val="20"/>
          <w:szCs w:val="20"/>
          <w:lang w:val="en-GB"/>
        </w:rPr>
        <w:t>, 2020</w:t>
      </w:r>
      <w:r w:rsidR="006418C6" w:rsidRPr="00F3309C">
        <w:rPr>
          <w:rFonts w:ascii="Open Sans" w:hAnsi="Open Sans" w:cs="Open Sans"/>
          <w:color w:val="000000"/>
          <w:sz w:val="20"/>
          <w:szCs w:val="20"/>
          <w:lang w:val="en-GB"/>
        </w:rPr>
        <w:t xml:space="preserve"> which must be quarantined for 14 </w:t>
      </w:r>
      <w:r w:rsidR="00310B38" w:rsidRPr="00F3309C">
        <w:rPr>
          <w:rFonts w:ascii="Open Sans" w:hAnsi="Open Sans" w:cs="Open Sans"/>
          <w:color w:val="000000"/>
          <w:sz w:val="20"/>
          <w:szCs w:val="20"/>
          <w:lang w:val="en-GB"/>
        </w:rPr>
        <w:t>nights</w:t>
      </w:r>
      <w:r w:rsidR="003745E9" w:rsidRPr="00F3309C">
        <w:rPr>
          <w:rFonts w:ascii="Open Sans" w:hAnsi="Open Sans" w:cs="Open Sans"/>
          <w:color w:val="000000"/>
          <w:sz w:val="20"/>
          <w:szCs w:val="20"/>
          <w:lang w:val="en-GB"/>
        </w:rPr>
        <w:t xml:space="preserve"> (Q14)</w:t>
      </w:r>
      <w:r w:rsidR="00310B38" w:rsidRPr="00F3309C">
        <w:rPr>
          <w:rFonts w:ascii="Open Sans" w:hAnsi="Open Sans" w:cs="Open Sans"/>
          <w:color w:val="000000"/>
          <w:sz w:val="20"/>
          <w:szCs w:val="20"/>
          <w:lang w:val="en-GB"/>
        </w:rPr>
        <w:t xml:space="preserve"> immediately prior to travel</w:t>
      </w:r>
      <w:r w:rsidRPr="00F3309C">
        <w:rPr>
          <w:rFonts w:ascii="Open Sans" w:hAnsi="Open Sans" w:cs="Open Sans"/>
          <w:color w:val="000000"/>
          <w:sz w:val="20"/>
          <w:szCs w:val="20"/>
          <w:lang w:val="en-GB"/>
        </w:rPr>
        <w:t>.</w:t>
      </w:r>
      <w:r w:rsidR="00ED13B6" w:rsidRPr="00F3309C">
        <w:rPr>
          <w:rFonts w:ascii="Open Sans" w:hAnsi="Open Sans" w:cs="Open Sans"/>
          <w:color w:val="000000"/>
          <w:sz w:val="20"/>
          <w:szCs w:val="20"/>
          <w:lang w:val="en-GB"/>
        </w:rPr>
        <w:t xml:space="preserve"> </w:t>
      </w:r>
    </w:p>
    <w:p w14:paraId="0965624D" w14:textId="1A398C3A" w:rsidR="00ED13B6" w:rsidRPr="00F55D3D" w:rsidRDefault="009B6D73" w:rsidP="00C11686">
      <w:pPr>
        <w:spacing w:after="120"/>
        <w:jc w:val="both"/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b/>
          <w:color w:val="000000" w:themeColor="text1"/>
          <w:sz w:val="20"/>
          <w:szCs w:val="20"/>
          <w:lang w:val="en-GB"/>
        </w:rPr>
        <w:t>Quarantine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="00BC09C7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in this case 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is defined as the restriction of activities or separation of persons, with the objective of monitoring symptoms and early detection of cases</w:t>
      </w:r>
      <w:r w:rsidR="00BC09C7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to mitigate against the spread of COVID-19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. </w:t>
      </w:r>
      <w:r w:rsidR="00A63873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This SOP is related to the quarantine of the individual as a precautionary measure prior to travel within SSUD and also on arrival internationally.</w:t>
      </w:r>
    </w:p>
    <w:p w14:paraId="3D44CE4E" w14:textId="7DB5AD9D" w:rsidR="00ED13B6" w:rsidRPr="00F3309C" w:rsidRDefault="002A585F" w:rsidP="00ED13B6">
      <w:pPr>
        <w:jc w:val="both"/>
        <w:rPr>
          <w:rFonts w:ascii="Open Sans" w:eastAsia="Calibri" w:hAnsi="Open Sans" w:cs="Open Sans"/>
          <w:color w:val="2F5496" w:themeColor="accent1" w:themeShade="BF"/>
          <w:lang w:val="en-GB"/>
        </w:rPr>
      </w:pPr>
      <w:r>
        <w:rPr>
          <w:rFonts w:ascii="Open Sans" w:eastAsia="Calibri" w:hAnsi="Open Sans" w:cs="Open Sans"/>
          <w:color w:val="2F5496" w:themeColor="accent1" w:themeShade="BF"/>
          <w:lang w:val="en-GB"/>
        </w:rPr>
        <w:t>Scope</w:t>
      </w:r>
    </w:p>
    <w:p w14:paraId="13AB5700" w14:textId="7AE7C57F" w:rsidR="00ED13B6" w:rsidRPr="00F3309C" w:rsidRDefault="002A585F" w:rsidP="00ED13B6">
      <w:pPr>
        <w:jc w:val="both"/>
        <w:rPr>
          <w:rFonts w:ascii="Open Sans" w:eastAsia="Calibri" w:hAnsi="Open Sans" w:cs="Open Sans"/>
          <w:sz w:val="20"/>
          <w:szCs w:val="20"/>
          <w:lang w:val="en-GB"/>
        </w:rPr>
      </w:pPr>
      <w:r>
        <w:rPr>
          <w:rFonts w:ascii="Open Sans" w:eastAsia="Calibri" w:hAnsi="Open Sans" w:cs="Open Sans"/>
          <w:sz w:val="20"/>
          <w:szCs w:val="20"/>
          <w:lang w:val="en-GB"/>
        </w:rPr>
        <w:t>Passengers whose travel is relevant to humanitarian operations,</w:t>
      </w:r>
      <w:r w:rsidR="00ED13B6"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 are responsible with complying with all aspects of this SOP</w:t>
      </w:r>
      <w:r w:rsidR="00FB11CA"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 when they need to quarantine based on the following travel plans</w:t>
      </w:r>
      <w:r w:rsidR="00520545" w:rsidRPr="00F3309C">
        <w:rPr>
          <w:rFonts w:ascii="Open Sans" w:eastAsia="Calibri" w:hAnsi="Open Sans" w:cs="Open Sans"/>
          <w:sz w:val="20"/>
          <w:szCs w:val="20"/>
          <w:lang w:val="en-GB"/>
        </w:rPr>
        <w:t>:</w:t>
      </w:r>
    </w:p>
    <w:p w14:paraId="74183535" w14:textId="5FBE1A41" w:rsidR="00FB11CA" w:rsidRPr="00F3309C" w:rsidRDefault="00FB11CA" w:rsidP="00ED13B6">
      <w:pPr>
        <w:jc w:val="both"/>
        <w:rPr>
          <w:rFonts w:ascii="Open Sans" w:eastAsia="Calibri" w:hAnsi="Open Sans" w:cs="Open Sans"/>
          <w:sz w:val="20"/>
          <w:szCs w:val="20"/>
          <w:lang w:val="en-GB"/>
        </w:rPr>
      </w:pPr>
    </w:p>
    <w:p w14:paraId="1B020DF3" w14:textId="774CBA00" w:rsidR="00FB11CA" w:rsidRPr="00F3309C" w:rsidRDefault="00A87593" w:rsidP="00ED13B6">
      <w:pPr>
        <w:jc w:val="both"/>
        <w:rPr>
          <w:rFonts w:ascii="Open Sans" w:eastAsia="Calibri" w:hAnsi="Open Sans" w:cs="Open Sans"/>
          <w:b/>
          <w:bCs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b/>
          <w:bCs/>
          <w:sz w:val="20"/>
          <w:szCs w:val="20"/>
          <w:lang w:val="en-GB"/>
        </w:rPr>
        <w:t xml:space="preserve">Pre-travel </w:t>
      </w:r>
      <w:r w:rsidR="00FB11CA" w:rsidRPr="00F3309C">
        <w:rPr>
          <w:rFonts w:ascii="Open Sans" w:eastAsia="Calibri" w:hAnsi="Open Sans" w:cs="Open Sans"/>
          <w:b/>
          <w:bCs/>
          <w:sz w:val="20"/>
          <w:szCs w:val="20"/>
          <w:lang w:val="en-GB"/>
        </w:rPr>
        <w:t>Q14</w:t>
      </w:r>
      <w:r w:rsidRPr="00F3309C">
        <w:rPr>
          <w:rFonts w:ascii="Open Sans" w:eastAsia="Calibri" w:hAnsi="Open Sans" w:cs="Open Sans"/>
          <w:b/>
          <w:bCs/>
          <w:sz w:val="20"/>
          <w:szCs w:val="20"/>
          <w:lang w:val="en-GB"/>
        </w:rPr>
        <w:t xml:space="preserve"> at origin </w:t>
      </w:r>
      <w:r w:rsidR="00FB11CA" w:rsidRPr="00F3309C">
        <w:rPr>
          <w:rFonts w:ascii="Open Sans" w:eastAsia="Calibri" w:hAnsi="Open Sans" w:cs="Open Sans"/>
          <w:b/>
          <w:bCs/>
          <w:sz w:val="20"/>
          <w:szCs w:val="20"/>
          <w:lang w:val="en-GB"/>
        </w:rPr>
        <w:t>is required when:</w:t>
      </w:r>
    </w:p>
    <w:p w14:paraId="70C4B74F" w14:textId="0830736F" w:rsidR="00FB11CA" w:rsidRDefault="00FB11CA" w:rsidP="00FB11CA">
      <w:pPr>
        <w:pStyle w:val="ListParagraph"/>
        <w:numPr>
          <w:ilvl w:val="0"/>
          <w:numId w:val="20"/>
        </w:numPr>
        <w:jc w:val="both"/>
        <w:rPr>
          <w:rFonts w:ascii="Open Sans" w:eastAsia="Calibri" w:hAnsi="Open Sans" w:cs="Open Sans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sz w:val="20"/>
          <w:szCs w:val="20"/>
          <w:lang w:val="en-GB"/>
        </w:rPr>
        <w:t>Travel</w:t>
      </w:r>
      <w:r w:rsidR="00016FBB" w:rsidRPr="00F3309C">
        <w:rPr>
          <w:rFonts w:ascii="Open Sans" w:eastAsia="Calibri" w:hAnsi="Open Sans" w:cs="Open Sans"/>
          <w:sz w:val="20"/>
          <w:szCs w:val="20"/>
          <w:lang w:val="en-GB"/>
        </w:rPr>
        <w:t>ling</w:t>
      </w:r>
      <w:r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 from Juba to the field within SSUD</w:t>
      </w:r>
      <w:r w:rsidR="00A63873">
        <w:rPr>
          <w:rFonts w:ascii="Open Sans" w:eastAsia="Calibri" w:hAnsi="Open Sans" w:cs="Open Sans"/>
          <w:sz w:val="20"/>
          <w:szCs w:val="20"/>
          <w:lang w:val="en-GB"/>
        </w:rPr>
        <w:t xml:space="preserve"> and outside of CES</w:t>
      </w:r>
    </w:p>
    <w:p w14:paraId="45C93035" w14:textId="57E163A9" w:rsidR="00A63873" w:rsidRPr="00F3309C" w:rsidRDefault="00A63873" w:rsidP="00FB11CA">
      <w:pPr>
        <w:pStyle w:val="ListParagraph"/>
        <w:numPr>
          <w:ilvl w:val="0"/>
          <w:numId w:val="20"/>
        </w:numPr>
        <w:jc w:val="both"/>
        <w:rPr>
          <w:rFonts w:ascii="Open Sans" w:eastAsia="Calibri" w:hAnsi="Open Sans" w:cs="Open Sans"/>
          <w:sz w:val="20"/>
          <w:szCs w:val="20"/>
          <w:lang w:val="en-GB"/>
        </w:rPr>
      </w:pPr>
      <w:r>
        <w:rPr>
          <w:rFonts w:ascii="Open Sans" w:eastAsia="Calibri" w:hAnsi="Open Sans" w:cs="Open Sans"/>
          <w:sz w:val="20"/>
          <w:szCs w:val="20"/>
          <w:lang w:val="en-GB"/>
        </w:rPr>
        <w:t>Q14 is in Juba</w:t>
      </w:r>
    </w:p>
    <w:p w14:paraId="441AFBB1" w14:textId="6ACA5517" w:rsidR="00A87593" w:rsidRPr="00F3309C" w:rsidRDefault="00A87593" w:rsidP="00A87593">
      <w:pPr>
        <w:jc w:val="both"/>
        <w:rPr>
          <w:rFonts w:ascii="Open Sans" w:eastAsia="Calibri" w:hAnsi="Open Sans" w:cs="Open Sans"/>
          <w:b/>
          <w:bCs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b/>
          <w:bCs/>
          <w:sz w:val="20"/>
          <w:szCs w:val="20"/>
          <w:lang w:val="en-GB"/>
        </w:rPr>
        <w:t>Post-travel Q14 at destination is required when:</w:t>
      </w:r>
    </w:p>
    <w:p w14:paraId="04AC8ABA" w14:textId="7CB920C9" w:rsidR="00A87593" w:rsidRDefault="00A87593" w:rsidP="00A87593">
      <w:pPr>
        <w:pStyle w:val="ListParagraph"/>
        <w:numPr>
          <w:ilvl w:val="0"/>
          <w:numId w:val="20"/>
        </w:numPr>
        <w:jc w:val="both"/>
        <w:rPr>
          <w:rFonts w:ascii="Open Sans" w:eastAsia="Calibri" w:hAnsi="Open Sans" w:cs="Open Sans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sz w:val="20"/>
          <w:szCs w:val="20"/>
          <w:lang w:val="en-GB"/>
        </w:rPr>
        <w:t>Return</w:t>
      </w:r>
      <w:r w:rsidR="00016FBB" w:rsidRPr="00F3309C">
        <w:rPr>
          <w:rFonts w:ascii="Open Sans" w:eastAsia="Calibri" w:hAnsi="Open Sans" w:cs="Open Sans"/>
          <w:sz w:val="20"/>
          <w:szCs w:val="20"/>
          <w:lang w:val="en-GB"/>
        </w:rPr>
        <w:t>ing</w:t>
      </w:r>
      <w:r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 to SSUD internationally</w:t>
      </w:r>
    </w:p>
    <w:p w14:paraId="652BA96A" w14:textId="4037F946" w:rsidR="00A63873" w:rsidRPr="00F3309C" w:rsidRDefault="00A63873" w:rsidP="00A87593">
      <w:pPr>
        <w:pStyle w:val="ListParagraph"/>
        <w:numPr>
          <w:ilvl w:val="0"/>
          <w:numId w:val="20"/>
        </w:numPr>
        <w:jc w:val="both"/>
        <w:rPr>
          <w:rFonts w:ascii="Open Sans" w:eastAsia="Calibri" w:hAnsi="Open Sans" w:cs="Open Sans"/>
          <w:sz w:val="20"/>
          <w:szCs w:val="20"/>
          <w:lang w:val="en-GB"/>
        </w:rPr>
      </w:pPr>
      <w:r>
        <w:rPr>
          <w:rFonts w:ascii="Open Sans" w:eastAsia="Calibri" w:hAnsi="Open Sans" w:cs="Open Sans"/>
          <w:sz w:val="20"/>
          <w:szCs w:val="20"/>
          <w:lang w:val="en-GB"/>
        </w:rPr>
        <w:t>Q14 is in Juba</w:t>
      </w:r>
    </w:p>
    <w:p w14:paraId="17BAB95B" w14:textId="1EC0107F" w:rsidR="00016FBB" w:rsidRPr="00F3309C" w:rsidRDefault="00016FBB" w:rsidP="00ED13B6">
      <w:pPr>
        <w:jc w:val="both"/>
        <w:rPr>
          <w:rFonts w:ascii="Open Sans" w:eastAsia="Calibri" w:hAnsi="Open Sans" w:cs="Open Sans"/>
          <w:b/>
          <w:bCs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b/>
          <w:bCs/>
          <w:sz w:val="20"/>
          <w:szCs w:val="20"/>
          <w:lang w:val="en-GB"/>
        </w:rPr>
        <w:t xml:space="preserve">Neither pre-travel nor post-travel </w:t>
      </w:r>
      <w:r w:rsidR="00FB11CA" w:rsidRPr="00F3309C">
        <w:rPr>
          <w:rFonts w:ascii="Open Sans" w:eastAsia="Calibri" w:hAnsi="Open Sans" w:cs="Open Sans"/>
          <w:b/>
          <w:bCs/>
          <w:sz w:val="20"/>
          <w:szCs w:val="20"/>
          <w:lang w:val="en-GB"/>
        </w:rPr>
        <w:t>Q14 is required for</w:t>
      </w:r>
      <w:r w:rsidRPr="00F3309C">
        <w:rPr>
          <w:rFonts w:ascii="Open Sans" w:eastAsia="Calibri" w:hAnsi="Open Sans" w:cs="Open Sans"/>
          <w:b/>
          <w:bCs/>
          <w:sz w:val="20"/>
          <w:szCs w:val="20"/>
          <w:lang w:val="en-GB"/>
        </w:rPr>
        <w:t>:</w:t>
      </w:r>
    </w:p>
    <w:p w14:paraId="421DB74D" w14:textId="074A7E63" w:rsidR="00FB11CA" w:rsidRPr="00F3309C" w:rsidRDefault="00FB11CA" w:rsidP="00FB11CA">
      <w:pPr>
        <w:pStyle w:val="ListParagraph"/>
        <w:numPr>
          <w:ilvl w:val="0"/>
          <w:numId w:val="21"/>
        </w:numPr>
        <w:jc w:val="both"/>
        <w:rPr>
          <w:rFonts w:ascii="Open Sans" w:eastAsia="Calibri" w:hAnsi="Open Sans" w:cs="Open Sans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sz w:val="20"/>
          <w:szCs w:val="20"/>
          <w:lang w:val="en-GB"/>
        </w:rPr>
        <w:t>Leaving SSUD internationally</w:t>
      </w:r>
      <w:r w:rsidR="005D63D8">
        <w:rPr>
          <w:rFonts w:ascii="Open Sans" w:eastAsia="Calibri" w:hAnsi="Open Sans" w:cs="Open Sans"/>
          <w:sz w:val="20"/>
          <w:szCs w:val="20"/>
          <w:lang w:val="en-GB"/>
        </w:rPr>
        <w:t xml:space="preserve"> (follow requirements at destination)</w:t>
      </w:r>
    </w:p>
    <w:p w14:paraId="0A562E98" w14:textId="79F73566" w:rsidR="00FB11CA" w:rsidRPr="00F3309C" w:rsidRDefault="00FB11CA" w:rsidP="00FB11CA">
      <w:pPr>
        <w:pStyle w:val="ListParagraph"/>
        <w:numPr>
          <w:ilvl w:val="0"/>
          <w:numId w:val="21"/>
        </w:numPr>
        <w:jc w:val="both"/>
        <w:rPr>
          <w:rFonts w:ascii="Open Sans" w:eastAsia="Calibri" w:hAnsi="Open Sans" w:cs="Open Sans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sz w:val="20"/>
          <w:szCs w:val="20"/>
          <w:lang w:val="en-GB"/>
        </w:rPr>
        <w:t>Travelling within SSUD but not transiting Juba</w:t>
      </w:r>
    </w:p>
    <w:p w14:paraId="4FD8ED33" w14:textId="3E9E25C4" w:rsidR="002A585F" w:rsidRDefault="00016FBB" w:rsidP="002A585F">
      <w:pPr>
        <w:pStyle w:val="ListParagraph"/>
        <w:numPr>
          <w:ilvl w:val="0"/>
          <w:numId w:val="21"/>
        </w:numPr>
        <w:jc w:val="both"/>
        <w:rPr>
          <w:rFonts w:ascii="Open Sans" w:eastAsia="Calibri" w:hAnsi="Open Sans" w:cs="Open Sans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sz w:val="20"/>
          <w:szCs w:val="20"/>
          <w:lang w:val="en-GB"/>
        </w:rPr>
        <w:t>Returning from the field to Juba</w:t>
      </w:r>
    </w:p>
    <w:p w14:paraId="541BA805" w14:textId="6D12E943" w:rsidR="003E36F0" w:rsidRPr="003E36F0" w:rsidRDefault="003E36F0" w:rsidP="003E36F0">
      <w:pPr>
        <w:jc w:val="both"/>
        <w:rPr>
          <w:rFonts w:ascii="Open Sans" w:eastAsia="Calibri" w:hAnsi="Open Sans" w:cs="Open Sans"/>
          <w:color w:val="2F5496" w:themeColor="accent1" w:themeShade="BF"/>
          <w:lang w:val="en-GB"/>
        </w:rPr>
      </w:pPr>
      <w:r w:rsidRPr="003E36F0">
        <w:rPr>
          <w:rFonts w:ascii="Open Sans" w:eastAsia="Calibri" w:hAnsi="Open Sans" w:cs="Open Sans"/>
          <w:color w:val="2F5496" w:themeColor="accent1" w:themeShade="BF"/>
          <w:lang w:val="en-GB"/>
        </w:rPr>
        <w:t>Reference documents</w:t>
      </w:r>
    </w:p>
    <w:p w14:paraId="098BB025" w14:textId="59032EB9" w:rsidR="003E36F0" w:rsidRDefault="003E36F0" w:rsidP="003E36F0">
      <w:pPr>
        <w:jc w:val="both"/>
        <w:rPr>
          <w:rFonts w:ascii="Open Sans" w:eastAsia="Calibri" w:hAnsi="Open Sans" w:cs="Open Sans"/>
          <w:sz w:val="20"/>
          <w:szCs w:val="20"/>
          <w:lang w:val="en-GB"/>
        </w:rPr>
      </w:pPr>
      <w:r>
        <w:rPr>
          <w:rFonts w:ascii="Open Sans" w:eastAsia="Calibri" w:hAnsi="Open Sans" w:cs="Open Sans"/>
          <w:sz w:val="20"/>
          <w:szCs w:val="20"/>
          <w:lang w:val="en-GB"/>
        </w:rPr>
        <w:t>This SOP shall be used in conjunction with the following documents:</w:t>
      </w:r>
    </w:p>
    <w:p w14:paraId="47D88237" w14:textId="3F80C998" w:rsidR="003E36F0" w:rsidRDefault="003E36F0" w:rsidP="003E36F0">
      <w:pPr>
        <w:pStyle w:val="ListParagraph"/>
        <w:numPr>
          <w:ilvl w:val="0"/>
          <w:numId w:val="23"/>
        </w:numPr>
        <w:jc w:val="both"/>
        <w:rPr>
          <w:rFonts w:ascii="Open Sans" w:eastAsia="Calibri" w:hAnsi="Open Sans" w:cs="Open Sans"/>
          <w:sz w:val="20"/>
          <w:szCs w:val="20"/>
          <w:lang w:val="en-GB"/>
        </w:rPr>
      </w:pPr>
      <w:r>
        <w:rPr>
          <w:rFonts w:ascii="Open Sans" w:eastAsia="Calibri" w:hAnsi="Open Sans" w:cs="Open Sans"/>
          <w:sz w:val="20"/>
          <w:szCs w:val="20"/>
          <w:lang w:val="en-GB"/>
        </w:rPr>
        <w:t>Q14 Staff Register Template</w:t>
      </w:r>
    </w:p>
    <w:p w14:paraId="52C5EF6B" w14:textId="2F0E3975" w:rsidR="003E36F0" w:rsidRDefault="003E36F0" w:rsidP="003E36F0">
      <w:pPr>
        <w:pStyle w:val="ListParagraph"/>
        <w:numPr>
          <w:ilvl w:val="0"/>
          <w:numId w:val="23"/>
        </w:numPr>
        <w:jc w:val="both"/>
        <w:rPr>
          <w:rFonts w:ascii="Open Sans" w:eastAsia="Calibri" w:hAnsi="Open Sans" w:cs="Open Sans"/>
          <w:sz w:val="20"/>
          <w:szCs w:val="20"/>
          <w:lang w:val="en-GB"/>
        </w:rPr>
      </w:pPr>
      <w:r>
        <w:rPr>
          <w:rFonts w:ascii="Open Sans" w:eastAsia="Calibri" w:hAnsi="Open Sans" w:cs="Open Sans"/>
          <w:sz w:val="20"/>
          <w:szCs w:val="20"/>
          <w:lang w:val="en-GB"/>
        </w:rPr>
        <w:t>Q14 Authorisation Letter Template</w:t>
      </w:r>
    </w:p>
    <w:p w14:paraId="15C980A7" w14:textId="45F3209A" w:rsidR="003E36F0" w:rsidRPr="003E36F0" w:rsidRDefault="003E36F0" w:rsidP="003E36F0">
      <w:pPr>
        <w:pStyle w:val="ListParagraph"/>
        <w:numPr>
          <w:ilvl w:val="0"/>
          <w:numId w:val="23"/>
        </w:numPr>
        <w:jc w:val="both"/>
        <w:rPr>
          <w:rFonts w:ascii="Open Sans" w:eastAsia="Calibri" w:hAnsi="Open Sans" w:cs="Open Sans"/>
          <w:sz w:val="20"/>
          <w:szCs w:val="20"/>
          <w:lang w:val="en-GB"/>
        </w:rPr>
      </w:pPr>
      <w:r>
        <w:rPr>
          <w:rFonts w:ascii="Open Sans" w:eastAsia="Calibri" w:hAnsi="Open Sans" w:cs="Open Sans"/>
          <w:sz w:val="20"/>
          <w:szCs w:val="20"/>
          <w:lang w:val="en-GB"/>
        </w:rPr>
        <w:t>Q14 Tracking Template</w:t>
      </w:r>
    </w:p>
    <w:p w14:paraId="5CADC730" w14:textId="52DF00BD" w:rsidR="00AB1621" w:rsidRPr="00F3309C" w:rsidRDefault="00AB1621" w:rsidP="00AB1621">
      <w:pPr>
        <w:rPr>
          <w:rFonts w:ascii="Open Sans" w:eastAsia="Calibri" w:hAnsi="Open Sans" w:cs="Open Sans"/>
          <w:color w:val="2F5496" w:themeColor="accent1" w:themeShade="BF"/>
          <w:lang w:val="en-GB"/>
        </w:rPr>
      </w:pPr>
      <w:r w:rsidRPr="00F3309C">
        <w:rPr>
          <w:rFonts w:ascii="Open Sans" w:eastAsia="Calibri" w:hAnsi="Open Sans" w:cs="Open Sans"/>
          <w:color w:val="2F5496" w:themeColor="accent1" w:themeShade="BF"/>
          <w:lang w:val="en-GB"/>
        </w:rPr>
        <w:t>Procedure</w:t>
      </w:r>
    </w:p>
    <w:p w14:paraId="4975735F" w14:textId="43CD7276" w:rsidR="00464AFB" w:rsidRPr="00F3309C" w:rsidRDefault="000A77FC" w:rsidP="00C11686">
      <w:pPr>
        <w:spacing w:after="120"/>
        <w:jc w:val="both"/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A mission travel </w:t>
      </w:r>
      <w:r w:rsidR="00A83DD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request 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must be</w:t>
      </w:r>
      <w:r w:rsidR="00A83DD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sent </w:t>
      </w:r>
      <w:r w:rsidR="00016FBB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to supervisor</w:t>
      </w:r>
      <w:r w:rsidR="00520545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="00A83DD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stating the reasons for the</w:t>
      </w:r>
      <w:r w:rsidR="00016FBB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essential</w:t>
      </w:r>
      <w:r w:rsidR="00A83DD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travel and be cleared by the </w:t>
      </w:r>
      <w:r w:rsidR="00F3309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organisation’s </w:t>
      </w:r>
      <w:r w:rsidR="00016FBB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most senior representative (e.g. Country Director, Head of </w:t>
      </w:r>
      <w:r w:rsidR="00A63873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Organisation</w:t>
      </w:r>
      <w:r w:rsidR="00016FBB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).</w:t>
      </w:r>
    </w:p>
    <w:p w14:paraId="113E1F4A" w14:textId="7786B423" w:rsidR="00464AFB" w:rsidRPr="00F3309C" w:rsidRDefault="00464AFB" w:rsidP="00C11686">
      <w:pPr>
        <w:spacing w:after="120"/>
        <w:jc w:val="both"/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When booking the flight, departure date must allow for</w:t>
      </w:r>
      <w:r w:rsidR="00310B38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entering into 14-</w:t>
      </w:r>
      <w:r w:rsidR="00310B38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nights 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quarantine</w:t>
      </w:r>
      <w:r w:rsidR="00310B38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prior to travel.</w:t>
      </w:r>
    </w:p>
    <w:p w14:paraId="0DDEF26E" w14:textId="5DF9D2FE" w:rsidR="00310B38" w:rsidRPr="00F3309C" w:rsidRDefault="00464AFB" w:rsidP="00C11686">
      <w:pPr>
        <w:spacing w:after="120"/>
        <w:jc w:val="both"/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A Q14 focal point must be appointed to maintain daily communication with staff undergoing quarantine, maintain a register of staff location, symptoms, temperature check and subsequently allow for verification of the Q14 completion by the senior management. </w:t>
      </w:r>
    </w:p>
    <w:p w14:paraId="0718593F" w14:textId="73584706" w:rsidR="00F57BF1" w:rsidRPr="00F3309C" w:rsidRDefault="00C11686" w:rsidP="00C11686">
      <w:pPr>
        <w:spacing w:after="120"/>
        <w:jc w:val="both"/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A</w:t>
      </w:r>
      <w:r w:rsidR="00310B38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Q14 focal point </w:t>
      </w:r>
      <w:r w:rsidR="00310B38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is to be informed prior to the staff entering quarantine allowing their details to be </w:t>
      </w:r>
      <w:r w:rsidR="00F57BF1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entered in</w:t>
      </w:r>
      <w:r w:rsidR="00310B38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the register and any guidance to be given of the requirements.</w:t>
      </w:r>
      <w:r w:rsidR="00A83DD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Failure to do so would invalidate the Q14.</w:t>
      </w:r>
    </w:p>
    <w:p w14:paraId="5AA1F6DA" w14:textId="6C8EE27B" w:rsidR="00576FCE" w:rsidRPr="00F3309C" w:rsidRDefault="00F57BF1" w:rsidP="00C11686">
      <w:pPr>
        <w:spacing w:after="120"/>
        <w:jc w:val="both"/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lastRenderedPageBreak/>
        <w:t>The t</w:t>
      </w:r>
      <w:r w:rsidR="00A83DD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racking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of details of the staff in quarantine will be the responsibility of the </w:t>
      </w:r>
      <w:r w:rsidR="00C11686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Q14 focal point. </w:t>
      </w:r>
      <w:r w:rsidR="00ED13B6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The staff member </w:t>
      </w:r>
      <w:r w:rsidR="0091248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must </w:t>
      </w:r>
      <w:r w:rsidR="00ED13B6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update 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daily</w:t>
      </w:r>
      <w:r w:rsidR="00ED13B6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on 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their</w:t>
      </w:r>
      <w:r w:rsidR="00ED13B6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="0078238A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status, including </w:t>
      </w:r>
      <w:r w:rsidR="00FA70C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body temperature</w:t>
      </w:r>
      <w:r w:rsidR="00ED13B6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and 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the</w:t>
      </w:r>
      <w:r w:rsidR="00FA70C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="00ED13B6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stage </w:t>
      </w:r>
      <w:r w:rsidR="00A83DD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of </w:t>
      </w:r>
      <w:r w:rsidR="00ED13B6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quarantine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.</w:t>
      </w:r>
      <w:r w:rsidR="00C11686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="00A63873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The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="00C11686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Q14 focal point will arrange and brief concerned staff on the procedures before they enter into quarantine. </w:t>
      </w:r>
    </w:p>
    <w:p w14:paraId="5D0A6883" w14:textId="322F8F25" w:rsidR="00C11686" w:rsidRPr="00F3309C" w:rsidRDefault="002D5F44" w:rsidP="00C11686">
      <w:pPr>
        <w:spacing w:after="120"/>
        <w:jc w:val="both"/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The staff member must complete a minimum of 14 nights in quarantine and is </w:t>
      </w:r>
      <w:r w:rsidRPr="00F3309C">
        <w:rPr>
          <w:rFonts w:ascii="Open Sans" w:eastAsia="Calibri" w:hAnsi="Open Sans" w:cs="Open Sans"/>
          <w:b/>
          <w:bCs/>
          <w:color w:val="000000" w:themeColor="text1"/>
          <w:sz w:val="20"/>
          <w:szCs w:val="20"/>
          <w:lang w:val="en-GB"/>
        </w:rPr>
        <w:t>to go direct from quarantine to the airport for their flight.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There is no release into the general population prior to departure of the fligh</w:t>
      </w:r>
      <w:r w:rsidR="00576FCE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t</w:t>
      </w:r>
      <w:r w:rsidR="00F84337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.</w:t>
      </w:r>
    </w:p>
    <w:p w14:paraId="3382F0E3" w14:textId="77777777" w:rsidR="00167314" w:rsidRDefault="002D5F44" w:rsidP="00C11686">
      <w:pPr>
        <w:spacing w:after="120"/>
        <w:jc w:val="both"/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On</w:t>
      </w:r>
      <w:r w:rsidR="00C11686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completion of the quarantine and </w:t>
      </w:r>
      <w:r w:rsidR="00F3309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fulfilment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of all requirements</w:t>
      </w:r>
      <w:r w:rsidR="00F84337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,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Pr="00FF5AAD">
        <w:rPr>
          <w:rFonts w:ascii="Open Sans" w:eastAsia="Calibri" w:hAnsi="Open Sans" w:cs="Open Sans"/>
          <w:b/>
          <w:bCs/>
          <w:color w:val="000000" w:themeColor="text1"/>
          <w:sz w:val="20"/>
          <w:szCs w:val="20"/>
          <w:lang w:val="en-GB"/>
        </w:rPr>
        <w:t>a</w:t>
      </w:r>
      <w:r w:rsidR="00F3309C" w:rsidRPr="00FF5AAD">
        <w:rPr>
          <w:rFonts w:ascii="Open Sans" w:eastAsia="Calibri" w:hAnsi="Open Sans" w:cs="Open Sans"/>
          <w:b/>
          <w:bCs/>
          <w:color w:val="000000" w:themeColor="text1"/>
          <w:sz w:val="20"/>
          <w:szCs w:val="20"/>
          <w:lang w:val="en-GB"/>
        </w:rPr>
        <w:t xml:space="preserve"> travel authorisation</w:t>
      </w:r>
      <w:r w:rsidRPr="00FF5AAD">
        <w:rPr>
          <w:rFonts w:ascii="Open Sans" w:eastAsia="Calibri" w:hAnsi="Open Sans" w:cs="Open Sans"/>
          <w:b/>
          <w:bCs/>
          <w:color w:val="000000" w:themeColor="text1"/>
          <w:sz w:val="20"/>
          <w:szCs w:val="20"/>
          <w:lang w:val="en-GB"/>
        </w:rPr>
        <w:t xml:space="preserve"> letter </w:t>
      </w:r>
      <w:r w:rsidR="00FF5AAD" w:rsidRPr="00FF5AAD">
        <w:rPr>
          <w:rFonts w:ascii="Open Sans" w:eastAsia="Calibri" w:hAnsi="Open Sans" w:cs="Open Sans"/>
          <w:b/>
          <w:bCs/>
          <w:color w:val="000000" w:themeColor="text1"/>
          <w:sz w:val="20"/>
          <w:szCs w:val="20"/>
          <w:lang w:val="en-GB"/>
        </w:rPr>
        <w:t xml:space="preserve">stamped and </w:t>
      </w:r>
      <w:r w:rsidRPr="00FF5AAD">
        <w:rPr>
          <w:rFonts w:ascii="Open Sans" w:eastAsia="Calibri" w:hAnsi="Open Sans" w:cs="Open Sans"/>
          <w:b/>
          <w:bCs/>
          <w:color w:val="000000" w:themeColor="text1"/>
          <w:sz w:val="20"/>
          <w:szCs w:val="20"/>
          <w:lang w:val="en-GB"/>
        </w:rPr>
        <w:t>signed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by </w:t>
      </w:r>
      <w:r w:rsidR="00C11686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the </w:t>
      </w:r>
      <w:r w:rsidR="00F3309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organisation’s most senior representative</w:t>
      </w:r>
      <w:r w:rsidR="00C11686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="00A83DDC" w:rsidRPr="00F3309C">
        <w:rPr>
          <w:rFonts w:ascii="Open Sans" w:eastAsia="Calibri" w:hAnsi="Open Sans" w:cs="Open Sans"/>
          <w:sz w:val="20"/>
          <w:szCs w:val="20"/>
          <w:highlight w:val="yellow"/>
          <w:lang w:val="en-GB"/>
        </w:rPr>
        <w:t xml:space="preserve">and authorized </w:t>
      </w:r>
      <w:r w:rsidR="00A83DDC" w:rsidRPr="00F55D3D">
        <w:rPr>
          <w:rFonts w:ascii="Open Sans" w:eastAsia="Calibri" w:hAnsi="Open Sans" w:cs="Open Sans"/>
          <w:sz w:val="20"/>
          <w:szCs w:val="20"/>
          <w:highlight w:val="yellow"/>
          <w:lang w:val="en-GB"/>
        </w:rPr>
        <w:t xml:space="preserve">by </w:t>
      </w:r>
      <w:r w:rsidR="00F55D3D" w:rsidRPr="00F55D3D">
        <w:rPr>
          <w:rFonts w:ascii="Open Sans" w:eastAsia="Calibri" w:hAnsi="Open Sans" w:cs="Open Sans"/>
          <w:sz w:val="20"/>
          <w:szCs w:val="20"/>
          <w:highlight w:val="yellow"/>
          <w:lang w:val="en-GB"/>
        </w:rPr>
        <w:t>the Ministry of Health (MoH)</w:t>
      </w:r>
      <w:r w:rsidR="00A83DDC"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 will be se</w:t>
      </w:r>
      <w:r w:rsidR="00A83DD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cured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as pro</w:t>
      </w:r>
      <w:r w:rsidR="00B67DCD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o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f of completing the requirem</w:t>
      </w:r>
      <w:r w:rsidR="00B67DCD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ents</w:t>
      </w:r>
      <w:r w:rsidR="001B68A7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. </w:t>
      </w:r>
    </w:p>
    <w:p w14:paraId="040FFD81" w14:textId="20CAB7DD" w:rsidR="001B68A7" w:rsidRPr="00F3309C" w:rsidRDefault="00167314" w:rsidP="00C11686">
      <w:pPr>
        <w:spacing w:after="120"/>
        <w:jc w:val="both"/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</w:pPr>
      <w:r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The original copy of the authorisation (stamped and signed) must be taken to the airport along with</w:t>
      </w:r>
      <w:r w:rsidR="0006201D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="007C1E50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five</w:t>
      </w:r>
      <w:r w:rsidR="0006201D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(</w:t>
      </w:r>
      <w:r w:rsidR="007C1E50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5</w:t>
      </w:r>
      <w:r w:rsidR="0006201D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) copies of</w:t>
      </w:r>
      <w:r w:rsidR="001B68A7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the travel authorisation letter on the organisation’s letterhead</w:t>
      </w:r>
      <w:r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plus f</w:t>
      </w:r>
      <w:r w:rsidR="007C1E50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ive</w:t>
      </w:r>
      <w:r w:rsidR="0006201D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(</w:t>
      </w:r>
      <w:r w:rsidR="007C1E50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5</w:t>
      </w:r>
      <w:r w:rsidR="0006201D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) copies of the t</w:t>
      </w:r>
      <w:r w:rsidR="001B68A7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emperature chart </w:t>
      </w:r>
      <w:r w:rsidR="0006201D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signed by the Q14 focal point</w:t>
      </w:r>
      <w:r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attached to each authorisation letter.</w:t>
      </w:r>
    </w:p>
    <w:p w14:paraId="16A7DE00" w14:textId="1BFC5515" w:rsidR="00727DA9" w:rsidRPr="00F3309C" w:rsidRDefault="00B67DCD" w:rsidP="0006201D">
      <w:pPr>
        <w:spacing w:after="120"/>
        <w:jc w:val="both"/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Failure at any</w:t>
      </w:r>
      <w:r w:rsidR="00167314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time in observing the Q14 requirements will result in a cancellation of travel plans for the staff member and reporting of the incident to the </w:t>
      </w:r>
      <w:r w:rsidR="00F3309C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organisation’s most senior representative</w:t>
      </w:r>
      <w:r w:rsidR="00520545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.</w:t>
      </w:r>
    </w:p>
    <w:p w14:paraId="4864511F" w14:textId="31939912" w:rsidR="002A585F" w:rsidRPr="00167314" w:rsidRDefault="00167314" w:rsidP="00C11686">
      <w:pPr>
        <w:spacing w:after="120"/>
        <w:rPr>
          <w:rFonts w:ascii="Open Sans" w:eastAsia="Calibri" w:hAnsi="Open Sans" w:cs="Open Sans"/>
          <w:sz w:val="20"/>
          <w:szCs w:val="20"/>
          <w:lang w:val="en-GB"/>
        </w:rPr>
      </w:pPr>
      <w:r w:rsidRPr="00167314">
        <w:rPr>
          <w:rFonts w:ascii="Open Sans" w:eastAsia="Calibri" w:hAnsi="Open Sans" w:cs="Open Sans"/>
          <w:b/>
          <w:bCs/>
          <w:sz w:val="20"/>
          <w:szCs w:val="20"/>
          <w:lang w:val="en-GB"/>
        </w:rPr>
        <w:t>Note:</w:t>
      </w:r>
      <w:r w:rsidRPr="00167314">
        <w:rPr>
          <w:rFonts w:ascii="Open Sans" w:eastAsia="Calibri" w:hAnsi="Open Sans" w:cs="Open Sans"/>
          <w:sz w:val="20"/>
          <w:szCs w:val="20"/>
          <w:lang w:val="en-GB"/>
        </w:rPr>
        <w:t xml:space="preserve"> An up to date register must be fully maintained </w:t>
      </w:r>
      <w:r>
        <w:rPr>
          <w:rFonts w:ascii="Open Sans" w:eastAsia="Calibri" w:hAnsi="Open Sans" w:cs="Open Sans"/>
          <w:sz w:val="20"/>
          <w:szCs w:val="20"/>
          <w:lang w:val="en-GB"/>
        </w:rPr>
        <w:t xml:space="preserve">at all times </w:t>
      </w:r>
      <w:r w:rsidRPr="00167314">
        <w:rPr>
          <w:rFonts w:ascii="Open Sans" w:eastAsia="Calibri" w:hAnsi="Open Sans" w:cs="Open Sans"/>
          <w:sz w:val="20"/>
          <w:szCs w:val="20"/>
          <w:lang w:val="en-GB"/>
        </w:rPr>
        <w:t xml:space="preserve">so it can be available at any time </w:t>
      </w:r>
      <w:r>
        <w:rPr>
          <w:rFonts w:ascii="Open Sans" w:eastAsia="Calibri" w:hAnsi="Open Sans" w:cs="Open Sans"/>
          <w:sz w:val="20"/>
          <w:szCs w:val="20"/>
          <w:lang w:val="en-GB"/>
        </w:rPr>
        <w:t xml:space="preserve">if </w:t>
      </w:r>
      <w:r w:rsidRPr="00167314">
        <w:rPr>
          <w:rFonts w:ascii="Open Sans" w:eastAsia="Calibri" w:hAnsi="Open Sans" w:cs="Open Sans"/>
          <w:sz w:val="20"/>
          <w:szCs w:val="20"/>
          <w:lang w:val="en-GB"/>
        </w:rPr>
        <w:t>requested by MoH</w:t>
      </w:r>
      <w:r>
        <w:rPr>
          <w:rFonts w:ascii="Open Sans" w:eastAsia="Calibri" w:hAnsi="Open Sans" w:cs="Open Sans"/>
          <w:sz w:val="20"/>
          <w:szCs w:val="20"/>
          <w:lang w:val="en-GB"/>
        </w:rPr>
        <w:t xml:space="preserve"> for monitoring purposes</w:t>
      </w:r>
      <w:bookmarkStart w:id="0" w:name="_GoBack"/>
      <w:bookmarkEnd w:id="0"/>
      <w:r w:rsidRPr="00167314">
        <w:rPr>
          <w:rFonts w:ascii="Open Sans" w:eastAsia="Calibri" w:hAnsi="Open Sans" w:cs="Open Sans"/>
          <w:sz w:val="20"/>
          <w:szCs w:val="20"/>
          <w:lang w:val="en-GB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25"/>
        <w:gridCol w:w="1200"/>
        <w:gridCol w:w="1540"/>
      </w:tblGrid>
      <w:tr w:rsidR="00727DA9" w:rsidRPr="00F3309C" w14:paraId="53864820" w14:textId="77777777" w:rsidTr="00B67DCD">
        <w:tc>
          <w:tcPr>
            <w:tcW w:w="6025" w:type="dxa"/>
          </w:tcPr>
          <w:p w14:paraId="48072F4B" w14:textId="3DFB610F" w:rsidR="00727DA9" w:rsidRPr="00F3309C" w:rsidRDefault="00727DA9" w:rsidP="00AB1621">
            <w:pPr>
              <w:rPr>
                <w:rFonts w:ascii="Open Sans" w:eastAsia="Calibri" w:hAnsi="Open Sans" w:cs="Open Sans"/>
                <w:b/>
                <w:bCs/>
                <w:color w:val="2F5496" w:themeColor="accent1" w:themeShade="BF"/>
                <w:lang w:val="en-GB"/>
              </w:rPr>
            </w:pPr>
            <w:r w:rsidRPr="00F3309C">
              <w:rPr>
                <w:rFonts w:ascii="Open Sans" w:eastAsia="Calibri" w:hAnsi="Open Sans" w:cs="Open Sans"/>
                <w:b/>
                <w:bCs/>
                <w:color w:val="2F5496" w:themeColor="accent1" w:themeShade="BF"/>
                <w:lang w:val="en-GB"/>
              </w:rPr>
              <w:t>ACTION</w:t>
            </w:r>
          </w:p>
        </w:tc>
        <w:tc>
          <w:tcPr>
            <w:tcW w:w="1200" w:type="dxa"/>
          </w:tcPr>
          <w:p w14:paraId="56AE3BEB" w14:textId="65BDD910" w:rsidR="00727DA9" w:rsidRPr="00F3309C" w:rsidRDefault="00727DA9" w:rsidP="00AB1621">
            <w:pPr>
              <w:rPr>
                <w:rFonts w:ascii="Open Sans" w:eastAsia="Calibri" w:hAnsi="Open Sans" w:cs="Open Sans"/>
                <w:b/>
                <w:bCs/>
                <w:color w:val="2F5496" w:themeColor="accent1" w:themeShade="BF"/>
                <w:lang w:val="en-GB"/>
              </w:rPr>
            </w:pPr>
            <w:r w:rsidRPr="00F3309C">
              <w:rPr>
                <w:rFonts w:ascii="Open Sans" w:eastAsia="Calibri" w:hAnsi="Open Sans" w:cs="Open Sans"/>
                <w:b/>
                <w:bCs/>
                <w:color w:val="2F5496" w:themeColor="accent1" w:themeShade="BF"/>
                <w:lang w:val="en-GB"/>
              </w:rPr>
              <w:t>WHO</w:t>
            </w:r>
          </w:p>
        </w:tc>
        <w:tc>
          <w:tcPr>
            <w:tcW w:w="1540" w:type="dxa"/>
          </w:tcPr>
          <w:p w14:paraId="753D80E2" w14:textId="3518AB1F" w:rsidR="00727DA9" w:rsidRPr="00F3309C" w:rsidRDefault="00727DA9" w:rsidP="00AB1621">
            <w:pPr>
              <w:rPr>
                <w:rFonts w:ascii="Open Sans" w:eastAsia="Calibri" w:hAnsi="Open Sans" w:cs="Open Sans"/>
                <w:b/>
                <w:bCs/>
                <w:color w:val="2F5496" w:themeColor="accent1" w:themeShade="BF"/>
                <w:lang w:val="en-GB"/>
              </w:rPr>
            </w:pPr>
            <w:r w:rsidRPr="00F3309C">
              <w:rPr>
                <w:rFonts w:ascii="Open Sans" w:eastAsia="Calibri" w:hAnsi="Open Sans" w:cs="Open Sans"/>
                <w:b/>
                <w:bCs/>
                <w:color w:val="2F5496" w:themeColor="accent1" w:themeShade="BF"/>
                <w:lang w:val="en-GB"/>
              </w:rPr>
              <w:t>WHEN</w:t>
            </w:r>
          </w:p>
        </w:tc>
      </w:tr>
      <w:tr w:rsidR="00BC09C7" w:rsidRPr="00F3309C" w14:paraId="09414CE6" w14:textId="77777777" w:rsidTr="00B67DCD">
        <w:tc>
          <w:tcPr>
            <w:tcW w:w="6025" w:type="dxa"/>
          </w:tcPr>
          <w:p w14:paraId="14A8374A" w14:textId="2A722C47" w:rsidR="00BC09C7" w:rsidRPr="00F3309C" w:rsidRDefault="00BC09C7" w:rsidP="00727DA9">
            <w:pPr>
              <w:rPr>
                <w:rFonts w:ascii="Open Sans" w:eastAsia="Calibri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Pre-quarantine</w:t>
            </w:r>
          </w:p>
          <w:p w14:paraId="30F276AB" w14:textId="46C45ECE" w:rsidR="00BC09C7" w:rsidRPr="00F3309C" w:rsidRDefault="00BC09C7" w:rsidP="00BC09C7">
            <w:pPr>
              <w:pStyle w:val="ListParagraph"/>
              <w:numPr>
                <w:ilvl w:val="0"/>
                <w:numId w:val="17"/>
              </w:num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>Ensure essentials are stocked</w:t>
            </w:r>
          </w:p>
          <w:p w14:paraId="7675E078" w14:textId="13CC1731" w:rsidR="00A83DDC" w:rsidRPr="00F3309C" w:rsidRDefault="00A83DDC" w:rsidP="00BC09C7">
            <w:pPr>
              <w:pStyle w:val="ListParagraph"/>
              <w:numPr>
                <w:ilvl w:val="0"/>
                <w:numId w:val="17"/>
              </w:num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>Identify quarantine location</w:t>
            </w:r>
          </w:p>
          <w:p w14:paraId="36AFD0F4" w14:textId="618B7AA3" w:rsidR="00BC09C7" w:rsidRPr="00F3309C" w:rsidRDefault="00BC09C7" w:rsidP="00BC09C7">
            <w:pPr>
              <w:pStyle w:val="ListParagraph"/>
              <w:numPr>
                <w:ilvl w:val="0"/>
                <w:numId w:val="17"/>
              </w:num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>Have a nominated “buddy” to assist you in quarantine</w:t>
            </w:r>
          </w:p>
          <w:p w14:paraId="1EC24809" w14:textId="77777777" w:rsidR="00BC09C7" w:rsidRPr="00F3309C" w:rsidRDefault="00BC09C7" w:rsidP="00BC09C7">
            <w:pPr>
              <w:pStyle w:val="ListParagraph"/>
              <w:numPr>
                <w:ilvl w:val="0"/>
                <w:numId w:val="17"/>
              </w:num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>Ensure items required for the mission are available</w:t>
            </w:r>
          </w:p>
          <w:p w14:paraId="20EBB490" w14:textId="51CDFD6D" w:rsidR="00BC09C7" w:rsidRPr="00F3309C" w:rsidRDefault="00BC09C7" w:rsidP="00BC09C7">
            <w:pPr>
              <w:pStyle w:val="ListParagraph"/>
              <w:numPr>
                <w:ilvl w:val="0"/>
                <w:numId w:val="17"/>
              </w:numPr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 xml:space="preserve">Complete the registration of quarantine information with the </w:t>
            </w:r>
            <w:r w:rsidR="0006201D"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>Q14 focal point</w:t>
            </w:r>
            <w:r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 xml:space="preserve"> (see Q14 tracking </w:t>
            </w:r>
            <w:r w:rsidR="009433E0"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>template</w:t>
            </w:r>
            <w:r w:rsidR="0006201D"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 xml:space="preserve"> and Q14 register template</w:t>
            </w:r>
            <w:r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>)</w:t>
            </w:r>
            <w:r w:rsidR="0006201D"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>,</w:t>
            </w:r>
            <w:r w:rsidR="003745E9"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 xml:space="preserve"> including details of essential mission, proposed date of travel, quarantine location, name and contact details of staff.</w:t>
            </w:r>
          </w:p>
        </w:tc>
        <w:tc>
          <w:tcPr>
            <w:tcW w:w="1200" w:type="dxa"/>
          </w:tcPr>
          <w:p w14:paraId="0D7AC6EA" w14:textId="60C5679A" w:rsidR="00BC09C7" w:rsidRPr="00F3309C" w:rsidRDefault="003745E9" w:rsidP="00AB1621">
            <w:p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Staff member</w:t>
            </w:r>
          </w:p>
        </w:tc>
        <w:tc>
          <w:tcPr>
            <w:tcW w:w="1540" w:type="dxa"/>
          </w:tcPr>
          <w:p w14:paraId="6A045CA3" w14:textId="77777777" w:rsidR="00BC09C7" w:rsidRPr="00F3309C" w:rsidRDefault="003745E9" w:rsidP="00AB1621">
            <w:p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Pre-quarantine</w:t>
            </w:r>
          </w:p>
          <w:p w14:paraId="3A2DC73D" w14:textId="7447FCBB" w:rsidR="003745E9" w:rsidRPr="00F3309C" w:rsidRDefault="003745E9" w:rsidP="00AB1621">
            <w:p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(minimum 17 days prior to Q14).</w:t>
            </w:r>
          </w:p>
        </w:tc>
      </w:tr>
      <w:tr w:rsidR="00727DA9" w:rsidRPr="00F3309C" w14:paraId="28156DB6" w14:textId="77777777" w:rsidTr="00B67DCD">
        <w:tc>
          <w:tcPr>
            <w:tcW w:w="6025" w:type="dxa"/>
          </w:tcPr>
          <w:p w14:paraId="16C6B39B" w14:textId="24E135FC" w:rsidR="00BC09C7" w:rsidRPr="00F3309C" w:rsidRDefault="00BC09C7" w:rsidP="00727DA9">
            <w:pPr>
              <w:rPr>
                <w:rFonts w:ascii="Open Sans" w:eastAsia="Calibri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During quarantine</w:t>
            </w:r>
          </w:p>
          <w:p w14:paraId="42CF929D" w14:textId="6B206BBE" w:rsidR="00727DA9" w:rsidRPr="00F3309C" w:rsidRDefault="00727DA9" w:rsidP="003745E9">
            <w:p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 xml:space="preserve">Inform </w:t>
            </w: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the </w:t>
            </w:r>
            <w:r w:rsidR="0006201D"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>Q14 focal point</w:t>
            </w:r>
            <w:r w:rsidR="009F7597"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BC09C7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daily </w:t>
            </w:r>
            <w:r w:rsidR="0006201D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(</w:t>
            </w:r>
            <w:r w:rsidR="0006201D"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>see Q14 tracking template)</w:t>
            </w:r>
          </w:p>
          <w:p w14:paraId="53013439" w14:textId="2ED464C1" w:rsidR="003745E9" w:rsidRPr="00F3309C" w:rsidRDefault="007C1E50" w:rsidP="003745E9">
            <w:pPr>
              <w:pStyle w:val="ListParagraph"/>
              <w:numPr>
                <w:ilvl w:val="0"/>
                <w:numId w:val="18"/>
              </w:numPr>
              <w:rPr>
                <w:rFonts w:ascii="Open Sans" w:eastAsia="Calibri" w:hAnsi="Open Sans" w:cs="Open Sans"/>
                <w:i/>
                <w:sz w:val="20"/>
                <w:szCs w:val="20"/>
                <w:lang w:val="en-GB"/>
              </w:rPr>
            </w:pPr>
            <w:r>
              <w:rPr>
                <w:rFonts w:ascii="Open Sans" w:eastAsia="Calibri" w:hAnsi="Open Sans" w:cs="Open Sans"/>
                <w:iCs/>
                <w:sz w:val="20"/>
                <w:szCs w:val="20"/>
                <w:lang w:val="en-GB"/>
              </w:rPr>
              <w:t>D</w:t>
            </w:r>
            <w:r w:rsidR="003745E9" w:rsidRPr="00F3309C">
              <w:rPr>
                <w:rFonts w:ascii="Open Sans" w:eastAsia="Calibri" w:hAnsi="Open Sans" w:cs="Open Sans"/>
                <w:iCs/>
                <w:sz w:val="20"/>
                <w:szCs w:val="20"/>
                <w:lang w:val="en-GB"/>
              </w:rPr>
              <w:t>aily temperature records</w:t>
            </w:r>
          </w:p>
          <w:p w14:paraId="156CE63A" w14:textId="4BE06118" w:rsidR="003745E9" w:rsidRPr="00F3309C" w:rsidRDefault="003745E9" w:rsidP="003745E9">
            <w:pPr>
              <w:pStyle w:val="ListParagraph"/>
              <w:numPr>
                <w:ilvl w:val="0"/>
                <w:numId w:val="18"/>
              </w:numPr>
              <w:rPr>
                <w:rFonts w:ascii="Open Sans" w:eastAsia="Calibri" w:hAnsi="Open Sans" w:cs="Open Sans"/>
                <w:i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iCs/>
                <w:sz w:val="20"/>
                <w:szCs w:val="20"/>
                <w:lang w:val="en-GB"/>
              </w:rPr>
              <w:t>Health status</w:t>
            </w:r>
          </w:p>
        </w:tc>
        <w:tc>
          <w:tcPr>
            <w:tcW w:w="1200" w:type="dxa"/>
          </w:tcPr>
          <w:p w14:paraId="0DC8FCE4" w14:textId="79F9B998" w:rsidR="00727DA9" w:rsidRPr="00F3309C" w:rsidRDefault="00BC09C7" w:rsidP="00AB1621">
            <w:pPr>
              <w:rPr>
                <w:rFonts w:ascii="Open Sans" w:eastAsia="Calibri" w:hAnsi="Open Sans" w:cs="Open Sans"/>
                <w:color w:val="2F5496" w:themeColor="accent1" w:themeShade="BF"/>
                <w:lang w:val="en-GB"/>
              </w:rPr>
            </w:pP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Staff member </w:t>
            </w:r>
          </w:p>
        </w:tc>
        <w:tc>
          <w:tcPr>
            <w:tcW w:w="1540" w:type="dxa"/>
          </w:tcPr>
          <w:p w14:paraId="729A64AE" w14:textId="30A0EF22" w:rsidR="00727DA9" w:rsidRPr="00F3309C" w:rsidRDefault="003745E9" w:rsidP="00AB1621">
            <w:pPr>
              <w:rPr>
                <w:rFonts w:ascii="Open Sans" w:eastAsia="Calibri" w:hAnsi="Open Sans" w:cs="Open Sans"/>
                <w:color w:val="2F5496" w:themeColor="accent1" w:themeShade="BF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Daily</w:t>
            </w:r>
          </w:p>
        </w:tc>
      </w:tr>
      <w:tr w:rsidR="00727DA9" w:rsidRPr="00F3309C" w14:paraId="38BC5D70" w14:textId="77777777" w:rsidTr="00B67DCD">
        <w:tc>
          <w:tcPr>
            <w:tcW w:w="6025" w:type="dxa"/>
          </w:tcPr>
          <w:p w14:paraId="2ACA2663" w14:textId="77777777" w:rsidR="00560BD1" w:rsidRPr="00F3309C" w:rsidRDefault="003745E9" w:rsidP="00AB1621">
            <w:pPr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en-GB"/>
              </w:rPr>
              <w:t>Completion of quarantine</w:t>
            </w:r>
          </w:p>
          <w:p w14:paraId="4B5B95ED" w14:textId="16380ACA" w:rsidR="003745E9" w:rsidRPr="00F3309C" w:rsidRDefault="003745E9" w:rsidP="003745E9">
            <w:pPr>
              <w:pStyle w:val="ListParagraph"/>
              <w:numPr>
                <w:ilvl w:val="0"/>
                <w:numId w:val="19"/>
              </w:num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Inform </w:t>
            </w:r>
            <w:r w:rsidR="0006201D"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 xml:space="preserve">Q14 focal point </w:t>
            </w:r>
            <w:r w:rsidR="00FB11CA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48</w:t>
            </w: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 hours minimum prior to ending quarantine</w:t>
            </w:r>
          </w:p>
          <w:p w14:paraId="60358F86" w14:textId="713B93B1" w:rsidR="003745E9" w:rsidRPr="00F3309C" w:rsidRDefault="003745E9" w:rsidP="003745E9">
            <w:pPr>
              <w:pStyle w:val="ListParagraph"/>
              <w:numPr>
                <w:ilvl w:val="0"/>
                <w:numId w:val="19"/>
              </w:num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On review of health status, a </w:t>
            </w:r>
            <w:r w:rsidR="00F3309C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travel authorization </w:t>
            </w: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letter will be presented</w:t>
            </w:r>
            <w:r w:rsidR="0006201D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 for signature</w:t>
            </w: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 to </w:t>
            </w:r>
            <w:r w:rsidR="0006201D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the </w:t>
            </w:r>
            <w:r w:rsidR="00F3309C"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 xml:space="preserve">organisation’s most senior representative </w:t>
            </w: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and </w:t>
            </w:r>
            <w:r w:rsidRPr="00F3309C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en-GB"/>
              </w:rPr>
              <w:t>MoH</w:t>
            </w:r>
            <w:r w:rsidR="0006201D" w:rsidRPr="00F3309C">
              <w:rPr>
                <w:rFonts w:ascii="Open Sans" w:eastAsia="Calibri" w:hAnsi="Open Sans" w:cs="Open Sans"/>
                <w:sz w:val="20"/>
                <w:szCs w:val="20"/>
                <w:highlight w:val="yellow"/>
                <w:lang w:val="en-GB"/>
              </w:rPr>
              <w:t xml:space="preserve"> representative</w:t>
            </w: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 if the staff shows no evidence of COVID-19</w:t>
            </w:r>
          </w:p>
          <w:p w14:paraId="24ACDE34" w14:textId="6E018F94" w:rsidR="003745E9" w:rsidRPr="00F3309C" w:rsidRDefault="003745E9" w:rsidP="003745E9">
            <w:pPr>
              <w:pStyle w:val="ListParagraph"/>
              <w:numPr>
                <w:ilvl w:val="0"/>
                <w:numId w:val="19"/>
              </w:num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If cleared, transport to </w:t>
            </w:r>
            <w:r w:rsidR="00F3309C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the airport should be organised, </w:t>
            </w: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as per procedures</w:t>
            </w:r>
            <w:r w:rsidR="00F3309C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,</w:t>
            </w: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 direct from quarantine and should have</w:t>
            </w:r>
            <w:r w:rsidR="00520545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 </w:t>
            </w:r>
            <w:r w:rsidR="00F3309C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seven (7)</w:t>
            </w: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 cop</w:t>
            </w:r>
            <w:r w:rsidR="00520545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ies</w:t>
            </w: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 of </w:t>
            </w:r>
            <w:r w:rsidR="00F3309C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the travel </w:t>
            </w:r>
            <w:r w:rsidR="00F3309C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lastRenderedPageBreak/>
              <w:t xml:space="preserve">authorization letter and temperature chart </w:t>
            </w: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for presentation </w:t>
            </w:r>
            <w:r w:rsidR="00F3309C"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 xml:space="preserve">at check-in </w:t>
            </w:r>
          </w:p>
          <w:p w14:paraId="591E9464" w14:textId="140DE9B5" w:rsidR="00520545" w:rsidRPr="00F3309C" w:rsidRDefault="00520545" w:rsidP="003745E9">
            <w:pPr>
              <w:pStyle w:val="ListParagraph"/>
              <w:numPr>
                <w:ilvl w:val="0"/>
                <w:numId w:val="19"/>
              </w:numPr>
              <w:rPr>
                <w:rFonts w:ascii="Open Sans" w:eastAsia="Calibri" w:hAnsi="Open Sans" w:cs="Open Sans"/>
                <w:color w:val="2F5496" w:themeColor="accent1" w:themeShade="BF"/>
                <w:lang w:val="en-GB"/>
              </w:rPr>
            </w:pP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Staff member should retain the original letter throughout the duration of travel</w:t>
            </w:r>
          </w:p>
        </w:tc>
        <w:tc>
          <w:tcPr>
            <w:tcW w:w="1200" w:type="dxa"/>
          </w:tcPr>
          <w:p w14:paraId="7542C8EC" w14:textId="77777777" w:rsidR="00727DA9" w:rsidRPr="00F3309C" w:rsidRDefault="00727DA9" w:rsidP="00AB1621">
            <w:p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lastRenderedPageBreak/>
              <w:t>Staff member</w:t>
            </w:r>
          </w:p>
          <w:p w14:paraId="40909AF8" w14:textId="77777777" w:rsidR="003745E9" w:rsidRPr="00F3309C" w:rsidRDefault="003745E9" w:rsidP="00AB1621">
            <w:p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</w:p>
          <w:p w14:paraId="052F9FCA" w14:textId="0593022A" w:rsidR="003745E9" w:rsidRPr="00F3309C" w:rsidRDefault="0006201D" w:rsidP="00AB1621">
            <w:p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  <w:lang w:val="en-GB"/>
              </w:rPr>
              <w:t>Q14 focal point</w:t>
            </w:r>
          </w:p>
        </w:tc>
        <w:tc>
          <w:tcPr>
            <w:tcW w:w="1540" w:type="dxa"/>
          </w:tcPr>
          <w:p w14:paraId="0F11CB99" w14:textId="5B037C42" w:rsidR="00727DA9" w:rsidRPr="00F3309C" w:rsidRDefault="003745E9" w:rsidP="00AB1621">
            <w:pPr>
              <w:rPr>
                <w:rFonts w:ascii="Open Sans" w:eastAsia="Calibri" w:hAnsi="Open Sans" w:cs="Open Sans"/>
                <w:sz w:val="20"/>
                <w:szCs w:val="20"/>
                <w:lang w:val="en-GB"/>
              </w:rPr>
            </w:pPr>
            <w:r w:rsidRPr="00F3309C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Post Q14</w:t>
            </w:r>
          </w:p>
        </w:tc>
      </w:tr>
    </w:tbl>
    <w:p w14:paraId="6344B4E8" w14:textId="77777777" w:rsidR="00F6702E" w:rsidRPr="00F3309C" w:rsidRDefault="00F6702E" w:rsidP="00984FE2">
      <w:pPr>
        <w:rPr>
          <w:rFonts w:ascii="Open Sans" w:eastAsia="Calibri" w:hAnsi="Open Sans" w:cs="Open Sans"/>
          <w:color w:val="2F5496" w:themeColor="accent1" w:themeShade="BF"/>
          <w:lang w:val="en-GB"/>
        </w:rPr>
      </w:pPr>
    </w:p>
    <w:p w14:paraId="11CA7EF8" w14:textId="4833ECA6" w:rsidR="00984FE2" w:rsidRPr="00F3309C" w:rsidRDefault="00984FE2" w:rsidP="00984FE2">
      <w:pPr>
        <w:rPr>
          <w:rFonts w:ascii="Open Sans" w:eastAsia="Calibri" w:hAnsi="Open Sans" w:cs="Open Sans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color w:val="2F5496" w:themeColor="accent1" w:themeShade="BF"/>
          <w:lang w:val="en-GB"/>
        </w:rPr>
        <w:t xml:space="preserve">Ending Your </w:t>
      </w:r>
      <w:r w:rsidR="00AE038D" w:rsidRPr="00F3309C">
        <w:rPr>
          <w:rFonts w:ascii="Open Sans" w:eastAsia="Calibri" w:hAnsi="Open Sans" w:cs="Open Sans"/>
          <w:color w:val="2F5496" w:themeColor="accent1" w:themeShade="BF"/>
          <w:lang w:val="en-GB"/>
        </w:rPr>
        <w:t xml:space="preserve">14-night </w:t>
      </w:r>
      <w:r w:rsidRPr="00F3309C">
        <w:rPr>
          <w:rFonts w:ascii="Open Sans" w:eastAsia="Calibri" w:hAnsi="Open Sans" w:cs="Open Sans"/>
          <w:color w:val="2F5496" w:themeColor="accent1" w:themeShade="BF"/>
          <w:lang w:val="en-GB"/>
        </w:rPr>
        <w:t>Quarantine</w:t>
      </w:r>
    </w:p>
    <w:p w14:paraId="7D186485" w14:textId="601795A5" w:rsidR="0078238A" w:rsidRPr="00F3309C" w:rsidRDefault="000E6FFA" w:rsidP="00A83DDC">
      <w:pPr>
        <w:jc w:val="both"/>
        <w:rPr>
          <w:rFonts w:ascii="Segoe UI" w:hAnsi="Segoe UI" w:cs="Segoe UI"/>
          <w:color w:val="000000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sz w:val="20"/>
          <w:szCs w:val="20"/>
          <w:lang w:val="en-GB"/>
        </w:rPr>
        <w:t>After 14</w:t>
      </w:r>
      <w:r w:rsidRPr="00F3309C">
        <w:rPr>
          <w:rFonts w:ascii="Open Sans" w:eastAsia="Calibri" w:hAnsi="Open Sans" w:cs="Open Sans"/>
          <w:sz w:val="20"/>
          <w:szCs w:val="20"/>
          <w:vertAlign w:val="superscript"/>
          <w:lang w:val="en-GB"/>
        </w:rPr>
        <w:t>th</w:t>
      </w:r>
      <w:r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 night, the quarantine period will end</w:t>
      </w:r>
      <w:r w:rsidR="00F23C06"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. However, if staff member’s flight is </w:t>
      </w:r>
      <w:r w:rsidR="00A83DDC" w:rsidRPr="00F3309C">
        <w:rPr>
          <w:rFonts w:ascii="Open Sans" w:eastAsia="Calibri" w:hAnsi="Open Sans" w:cs="Open Sans"/>
          <w:sz w:val="20"/>
          <w:szCs w:val="20"/>
          <w:lang w:val="en-GB"/>
        </w:rPr>
        <w:t>re-scheduled,</w:t>
      </w:r>
      <w:r w:rsidR="00B67DCD"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 </w:t>
      </w:r>
      <w:r w:rsidR="009B6D73" w:rsidRPr="00F3309C">
        <w:rPr>
          <w:rFonts w:ascii="Open Sans" w:eastAsia="Calibri" w:hAnsi="Open Sans" w:cs="Open Sans"/>
          <w:sz w:val="20"/>
          <w:szCs w:val="20"/>
          <w:lang w:val="en-GB"/>
        </w:rPr>
        <w:t>they</w:t>
      </w:r>
      <w:r w:rsidR="00F23C06"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 </w:t>
      </w:r>
      <w:r w:rsidR="00560BD1" w:rsidRPr="00F3309C">
        <w:rPr>
          <w:rFonts w:ascii="Open Sans" w:eastAsia="Calibri" w:hAnsi="Open Sans" w:cs="Open Sans"/>
          <w:sz w:val="20"/>
          <w:szCs w:val="20"/>
          <w:lang w:val="en-GB"/>
        </w:rPr>
        <w:t>must stay in</w:t>
      </w:r>
      <w:r w:rsidR="00F23C06"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 quarantine</w:t>
      </w:r>
      <w:r w:rsidR="00CF2762"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 until the </w:t>
      </w:r>
      <w:r w:rsidR="0078238A"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next available </w:t>
      </w:r>
      <w:r w:rsidR="00CF2762" w:rsidRPr="00F3309C">
        <w:rPr>
          <w:rFonts w:ascii="Open Sans" w:eastAsia="Calibri" w:hAnsi="Open Sans" w:cs="Open Sans"/>
          <w:sz w:val="20"/>
          <w:szCs w:val="20"/>
          <w:lang w:val="en-GB"/>
        </w:rPr>
        <w:t>flight</w:t>
      </w:r>
      <w:r w:rsidR="009B6D73" w:rsidRPr="00F3309C">
        <w:rPr>
          <w:rFonts w:ascii="Open Sans" w:eastAsia="Calibri" w:hAnsi="Open Sans" w:cs="Open Sans"/>
          <w:sz w:val="20"/>
          <w:szCs w:val="20"/>
          <w:lang w:val="en-GB"/>
        </w:rPr>
        <w:t>.</w:t>
      </w:r>
      <w:r w:rsidR="00F23C06"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 </w:t>
      </w:r>
    </w:p>
    <w:p w14:paraId="6D0011B8" w14:textId="36B4BA34" w:rsidR="009B6D73" w:rsidRPr="00F3309C" w:rsidRDefault="009B6D73" w:rsidP="00F23C06">
      <w:pPr>
        <w:rPr>
          <w:rFonts w:ascii="Open Sans" w:eastAsia="Calibri" w:hAnsi="Open Sans" w:cs="Open Sans"/>
          <w:color w:val="2F5496" w:themeColor="accent1" w:themeShade="BF"/>
          <w:lang w:val="en-GB"/>
        </w:rPr>
      </w:pPr>
    </w:p>
    <w:p w14:paraId="3CD89384" w14:textId="3B6DBF75" w:rsidR="00F23C06" w:rsidRPr="00F3309C" w:rsidRDefault="00F23C06" w:rsidP="00F23C06">
      <w:pPr>
        <w:rPr>
          <w:rFonts w:ascii="Open Sans" w:eastAsia="Calibri" w:hAnsi="Open Sans" w:cs="Open Sans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color w:val="2F5496" w:themeColor="accent1" w:themeShade="BF"/>
          <w:lang w:val="en-GB"/>
        </w:rPr>
        <w:t>Self-Monitoring Chart During Quarantine</w:t>
      </w:r>
    </w:p>
    <w:p w14:paraId="60827841" w14:textId="7D6F06FB" w:rsidR="00F23C06" w:rsidRPr="00F3309C" w:rsidRDefault="00F23C06" w:rsidP="00F23C06">
      <w:pPr>
        <w:rPr>
          <w:rFonts w:ascii="Open Sans" w:eastAsia="Calibri" w:hAnsi="Open Sans" w:cs="Open Sans"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Below is </w:t>
      </w:r>
      <w:r w:rsidR="00A83DDC"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an example of the </w:t>
      </w:r>
      <w:r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chart to </w:t>
      </w:r>
      <w:r w:rsidR="00CF2762" w:rsidRPr="00F3309C">
        <w:rPr>
          <w:rFonts w:ascii="Open Sans" w:eastAsia="Calibri" w:hAnsi="Open Sans" w:cs="Open Sans"/>
          <w:sz w:val="20"/>
          <w:szCs w:val="20"/>
          <w:lang w:val="en-GB"/>
        </w:rPr>
        <w:t>self-monitor</w:t>
      </w:r>
      <w:r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 during the 14-night quarantine and it is </w:t>
      </w:r>
      <w:r w:rsidR="00F3309C">
        <w:rPr>
          <w:rFonts w:ascii="Open Sans" w:eastAsia="Calibri" w:hAnsi="Open Sans" w:cs="Open Sans"/>
          <w:sz w:val="20"/>
          <w:szCs w:val="20"/>
          <w:lang w:val="en-GB"/>
        </w:rPr>
        <w:t>mandatory</w:t>
      </w:r>
      <w:r w:rsidRPr="00F3309C">
        <w:rPr>
          <w:rFonts w:ascii="Open Sans" w:eastAsia="Calibri" w:hAnsi="Open Sans" w:cs="Open Sans"/>
          <w:sz w:val="20"/>
          <w:szCs w:val="20"/>
          <w:lang w:val="en-GB"/>
        </w:rPr>
        <w:t xml:space="preserve"> to report back to </w:t>
      </w:r>
      <w:r w:rsid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>the Q14 focal point</w:t>
      </w:r>
      <w:r w:rsidR="004D6D93" w:rsidRPr="00F3309C">
        <w:rPr>
          <w:rFonts w:ascii="Open Sans" w:eastAsia="Calibri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Pr="00F3309C">
        <w:rPr>
          <w:rFonts w:ascii="Open Sans" w:eastAsia="Calibri" w:hAnsi="Open Sans" w:cs="Open Sans"/>
          <w:sz w:val="20"/>
          <w:szCs w:val="20"/>
          <w:lang w:val="en-GB"/>
        </w:rPr>
        <w:t>on daily basis for the entire period.</w:t>
      </w:r>
    </w:p>
    <w:p w14:paraId="7C1B81F3" w14:textId="77777777" w:rsidR="00FB11CA" w:rsidRPr="00F3309C" w:rsidRDefault="00FB11CA" w:rsidP="00F23C06">
      <w:pPr>
        <w:rPr>
          <w:rFonts w:ascii="Open Sans" w:eastAsia="Calibri" w:hAnsi="Open Sans" w:cs="Open Sans"/>
          <w:sz w:val="20"/>
          <w:szCs w:val="20"/>
          <w:lang w:val="en-GB"/>
        </w:rPr>
      </w:pPr>
    </w:p>
    <w:p w14:paraId="1E8C3E63" w14:textId="77777777" w:rsidR="00F55D3D" w:rsidRDefault="00F55D3D" w:rsidP="00F23C06">
      <w:pPr>
        <w:pStyle w:val="ListParagraph"/>
        <w:rPr>
          <w:rFonts w:ascii="Open Sans" w:eastAsia="Calibri" w:hAnsi="Open Sans" w:cs="Open Sans"/>
          <w:b/>
          <w:bCs/>
          <w:sz w:val="20"/>
          <w:szCs w:val="20"/>
          <w:lang w:val="en-GB"/>
        </w:rPr>
      </w:pPr>
    </w:p>
    <w:p w14:paraId="571FBCA1" w14:textId="77777777" w:rsidR="00F55D3D" w:rsidRDefault="00F55D3D" w:rsidP="00F23C06">
      <w:pPr>
        <w:pStyle w:val="ListParagraph"/>
        <w:rPr>
          <w:rFonts w:ascii="Open Sans" w:eastAsia="Calibri" w:hAnsi="Open Sans" w:cs="Open Sans"/>
          <w:b/>
          <w:bCs/>
          <w:sz w:val="20"/>
          <w:szCs w:val="20"/>
          <w:lang w:val="en-GB"/>
        </w:rPr>
      </w:pPr>
    </w:p>
    <w:p w14:paraId="0A862C5A" w14:textId="05422F5D" w:rsidR="00804CAC" w:rsidRPr="00F3309C" w:rsidRDefault="00F23C06" w:rsidP="00F23C06">
      <w:pPr>
        <w:pStyle w:val="ListParagraph"/>
        <w:rPr>
          <w:rFonts w:ascii="Open Sans" w:eastAsia="Calibri" w:hAnsi="Open Sans" w:cs="Open Sans"/>
          <w:b/>
          <w:bCs/>
          <w:sz w:val="20"/>
          <w:szCs w:val="20"/>
          <w:lang w:val="en-GB"/>
        </w:rPr>
      </w:pPr>
      <w:r w:rsidRPr="00F3309C">
        <w:rPr>
          <w:rFonts w:ascii="Open Sans" w:eastAsia="Calibri" w:hAnsi="Open Sans" w:cs="Open Sans"/>
          <w:b/>
          <w:bCs/>
          <w:sz w:val="20"/>
          <w:szCs w:val="20"/>
          <w:lang w:val="en-GB"/>
        </w:rPr>
        <w:t xml:space="preserve"> </w:t>
      </w:r>
      <w:r w:rsidR="00354444" w:rsidRPr="00F3309C">
        <w:rPr>
          <w:rFonts w:ascii="Open Sans" w:eastAsia="Calibri" w:hAnsi="Open Sans" w:cs="Open Sans"/>
          <w:b/>
          <w:bCs/>
          <w:sz w:val="20"/>
          <w:szCs w:val="20"/>
          <w:lang w:val="en-GB"/>
        </w:rPr>
        <w:t>Symptoms and Temperature Table for Self-Isolation Coronavirus</w:t>
      </w:r>
    </w:p>
    <w:tbl>
      <w:tblPr>
        <w:tblStyle w:val="TableGrid"/>
        <w:tblW w:w="10725" w:type="dxa"/>
        <w:jc w:val="center"/>
        <w:tblLayout w:type="fixed"/>
        <w:tblLook w:val="04A0" w:firstRow="1" w:lastRow="0" w:firstColumn="1" w:lastColumn="0" w:noHBand="0" w:noVBand="1"/>
      </w:tblPr>
      <w:tblGrid>
        <w:gridCol w:w="2250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"/>
      </w:tblGrid>
      <w:tr w:rsidR="00FB11CA" w:rsidRPr="00F3309C" w14:paraId="6BDFCEE5" w14:textId="54595489" w:rsidTr="00F3309C">
        <w:trPr>
          <w:gridAfter w:val="1"/>
          <w:wAfter w:w="6" w:type="dxa"/>
          <w:trHeight w:val="99"/>
          <w:jc w:val="center"/>
        </w:trPr>
        <w:tc>
          <w:tcPr>
            <w:tcW w:w="2250" w:type="dxa"/>
            <w:noWrap/>
            <w:hideMark/>
          </w:tcPr>
          <w:p w14:paraId="221304F2" w14:textId="667CB9B3" w:rsidR="00354444" w:rsidRPr="00F3309C" w:rsidRDefault="00354444">
            <w:pPr>
              <w:jc w:val="center"/>
              <w:rPr>
                <w:b/>
                <w:bCs/>
                <w:noProof/>
                <w:lang w:val="en-GB"/>
              </w:rPr>
            </w:pPr>
            <w:r w:rsidRPr="00F3309C">
              <w:rPr>
                <w:b/>
                <w:bCs/>
                <w:noProof/>
                <w:lang w:val="en-GB"/>
              </w:rPr>
              <w:t xml:space="preserve">Day </w:t>
            </w:r>
          </w:p>
        </w:tc>
        <w:tc>
          <w:tcPr>
            <w:tcW w:w="604" w:type="dxa"/>
            <w:noWrap/>
            <w:hideMark/>
          </w:tcPr>
          <w:p w14:paraId="4EB16F83" w14:textId="743989E3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D1</w:t>
            </w:r>
          </w:p>
        </w:tc>
        <w:tc>
          <w:tcPr>
            <w:tcW w:w="605" w:type="dxa"/>
            <w:noWrap/>
            <w:hideMark/>
          </w:tcPr>
          <w:p w14:paraId="080FC5E4" w14:textId="673E8136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D2</w:t>
            </w:r>
          </w:p>
        </w:tc>
        <w:tc>
          <w:tcPr>
            <w:tcW w:w="605" w:type="dxa"/>
            <w:noWrap/>
            <w:hideMark/>
          </w:tcPr>
          <w:p w14:paraId="60277260" w14:textId="06341D9D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D3</w:t>
            </w:r>
          </w:p>
        </w:tc>
        <w:tc>
          <w:tcPr>
            <w:tcW w:w="605" w:type="dxa"/>
            <w:noWrap/>
            <w:hideMark/>
          </w:tcPr>
          <w:p w14:paraId="645BAFB4" w14:textId="53252B2B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D4</w:t>
            </w:r>
          </w:p>
        </w:tc>
        <w:tc>
          <w:tcPr>
            <w:tcW w:w="605" w:type="dxa"/>
            <w:noWrap/>
            <w:hideMark/>
          </w:tcPr>
          <w:p w14:paraId="2C707CA2" w14:textId="1AB233BE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D5</w:t>
            </w:r>
          </w:p>
        </w:tc>
        <w:tc>
          <w:tcPr>
            <w:tcW w:w="605" w:type="dxa"/>
            <w:noWrap/>
            <w:hideMark/>
          </w:tcPr>
          <w:p w14:paraId="726A306F" w14:textId="29C354F0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D6</w:t>
            </w:r>
          </w:p>
        </w:tc>
        <w:tc>
          <w:tcPr>
            <w:tcW w:w="605" w:type="dxa"/>
            <w:noWrap/>
            <w:hideMark/>
          </w:tcPr>
          <w:p w14:paraId="6ED10D81" w14:textId="6547E9B0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D7</w:t>
            </w:r>
          </w:p>
        </w:tc>
        <w:tc>
          <w:tcPr>
            <w:tcW w:w="605" w:type="dxa"/>
            <w:noWrap/>
            <w:hideMark/>
          </w:tcPr>
          <w:p w14:paraId="64FFFF61" w14:textId="4251FC50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D8</w:t>
            </w:r>
          </w:p>
        </w:tc>
        <w:tc>
          <w:tcPr>
            <w:tcW w:w="605" w:type="dxa"/>
            <w:noWrap/>
            <w:hideMark/>
          </w:tcPr>
          <w:p w14:paraId="4BF50D45" w14:textId="40C8A510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D9</w:t>
            </w:r>
          </w:p>
        </w:tc>
        <w:tc>
          <w:tcPr>
            <w:tcW w:w="605" w:type="dxa"/>
            <w:noWrap/>
            <w:hideMark/>
          </w:tcPr>
          <w:p w14:paraId="130AF286" w14:textId="4EB49935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D10</w:t>
            </w:r>
          </w:p>
        </w:tc>
        <w:tc>
          <w:tcPr>
            <w:tcW w:w="605" w:type="dxa"/>
            <w:noWrap/>
            <w:hideMark/>
          </w:tcPr>
          <w:p w14:paraId="2606CC15" w14:textId="03FB39AE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D11</w:t>
            </w:r>
          </w:p>
        </w:tc>
        <w:tc>
          <w:tcPr>
            <w:tcW w:w="605" w:type="dxa"/>
            <w:noWrap/>
            <w:hideMark/>
          </w:tcPr>
          <w:p w14:paraId="6DD00D74" w14:textId="746B9354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D12</w:t>
            </w:r>
          </w:p>
        </w:tc>
        <w:tc>
          <w:tcPr>
            <w:tcW w:w="605" w:type="dxa"/>
            <w:noWrap/>
            <w:hideMark/>
          </w:tcPr>
          <w:p w14:paraId="61A11473" w14:textId="3E624849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D13</w:t>
            </w:r>
          </w:p>
        </w:tc>
        <w:tc>
          <w:tcPr>
            <w:tcW w:w="605" w:type="dxa"/>
            <w:noWrap/>
            <w:hideMark/>
          </w:tcPr>
          <w:p w14:paraId="7B9A5C9C" w14:textId="3E581639" w:rsidR="00354444" w:rsidRPr="00F3309C" w:rsidRDefault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D14</w:t>
            </w:r>
          </w:p>
        </w:tc>
      </w:tr>
      <w:tr w:rsidR="00FB11CA" w:rsidRPr="00F3309C" w14:paraId="4B85856A" w14:textId="1FA66483" w:rsidTr="00F3309C">
        <w:trPr>
          <w:gridAfter w:val="1"/>
          <w:wAfter w:w="6" w:type="dxa"/>
          <w:trHeight w:val="75"/>
          <w:jc w:val="center"/>
        </w:trPr>
        <w:tc>
          <w:tcPr>
            <w:tcW w:w="2250" w:type="dxa"/>
            <w:noWrap/>
            <w:hideMark/>
          </w:tcPr>
          <w:p w14:paraId="04111BB5" w14:textId="42C8EF3E" w:rsidR="00354444" w:rsidRPr="00F3309C" w:rsidRDefault="00354444" w:rsidP="00354444">
            <w:pPr>
              <w:jc w:val="center"/>
              <w:rPr>
                <w:b/>
                <w:bCs/>
                <w:noProof/>
                <w:lang w:val="en-GB"/>
              </w:rPr>
            </w:pPr>
            <w:r w:rsidRPr="00F3309C">
              <w:rPr>
                <w:b/>
                <w:bCs/>
                <w:noProof/>
                <w:lang w:val="en-GB"/>
              </w:rPr>
              <w:t xml:space="preserve">Symptoms </w:t>
            </w:r>
          </w:p>
        </w:tc>
        <w:tc>
          <w:tcPr>
            <w:tcW w:w="604" w:type="dxa"/>
            <w:noWrap/>
            <w:hideMark/>
          </w:tcPr>
          <w:p w14:paraId="1F60B39E" w14:textId="53F6DBFF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BD7651A" w14:textId="21A40778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14E72D4" w14:textId="431A488F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9982DCB" w14:textId="5C580587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E21AB7A" w14:textId="184831A5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CBC1BEC" w14:textId="7428F0BC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787F3D8" w14:textId="1253534A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5A26768" w14:textId="4ED5CEF3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265D4A0" w14:textId="3B2F37A7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79AE1C8" w14:textId="70EFFD01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BD47F75" w14:textId="7CD2E14D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22AA87D" w14:textId="29F82633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98E75FC" w14:textId="7C61381F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95135B0" w14:textId="44DAF99A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</w:tr>
      <w:tr w:rsidR="00FB11CA" w:rsidRPr="00F3309C" w14:paraId="59B35DD3" w14:textId="535F592B" w:rsidTr="00F3309C">
        <w:trPr>
          <w:gridAfter w:val="1"/>
          <w:wAfter w:w="6" w:type="dxa"/>
          <w:trHeight w:val="75"/>
          <w:jc w:val="center"/>
        </w:trPr>
        <w:tc>
          <w:tcPr>
            <w:tcW w:w="2250" w:type="dxa"/>
            <w:noWrap/>
            <w:hideMark/>
          </w:tcPr>
          <w:p w14:paraId="5C5C2399" w14:textId="0FB1052E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Fever</w:t>
            </w:r>
          </w:p>
        </w:tc>
        <w:tc>
          <w:tcPr>
            <w:tcW w:w="604" w:type="dxa"/>
            <w:noWrap/>
            <w:hideMark/>
          </w:tcPr>
          <w:p w14:paraId="55CE9A98" w14:textId="16FD2D49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20D9647" w14:textId="00A0416E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E4B1290" w14:textId="18422230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113E006" w14:textId="2554D592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2862B7C" w14:textId="765EE549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03EFDB4" w14:textId="56D1D8C9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B97AB12" w14:textId="18F7238E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48AB2B8" w14:textId="2F093049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7F72D3D" w14:textId="7FA9E0E1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08F4252" w14:textId="2DC45060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2F0105E" w14:textId="0B4D8F7F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EB0B20D" w14:textId="7D3F01B7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BAB76A4" w14:textId="10CE3F03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BF323DC" w14:textId="5CD430C2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</w:tr>
      <w:tr w:rsidR="00FB11CA" w:rsidRPr="00F3309C" w14:paraId="4000503A" w14:textId="7A6A7785" w:rsidTr="00F3309C">
        <w:trPr>
          <w:gridAfter w:val="1"/>
          <w:wAfter w:w="6" w:type="dxa"/>
          <w:trHeight w:val="75"/>
          <w:jc w:val="center"/>
        </w:trPr>
        <w:tc>
          <w:tcPr>
            <w:tcW w:w="2250" w:type="dxa"/>
            <w:noWrap/>
            <w:hideMark/>
          </w:tcPr>
          <w:p w14:paraId="51235C9D" w14:textId="10BD7611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Cough</w:t>
            </w:r>
          </w:p>
        </w:tc>
        <w:tc>
          <w:tcPr>
            <w:tcW w:w="604" w:type="dxa"/>
            <w:noWrap/>
            <w:hideMark/>
          </w:tcPr>
          <w:p w14:paraId="54A4E1A1" w14:textId="438FEE54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470BB39" w14:textId="1BD255AC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3CB5C77" w14:textId="3AD377DC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BA70425" w14:textId="5C0F50AC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156BAC9" w14:textId="7A02B14E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7488577" w14:textId="7279C61B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434F4E7" w14:textId="77A39B5C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EA4377B" w14:textId="4815CC6D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CF1435F" w14:textId="2E457B0B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EB27D9B" w14:textId="781E2226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089AB4E" w14:textId="2306A60F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C7D9CE3" w14:textId="6F8EF95F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9F88A3A" w14:textId="6A05F6EB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EDBC423" w14:textId="51C129B9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</w:tr>
      <w:tr w:rsidR="00FB11CA" w:rsidRPr="00F3309C" w14:paraId="35E3183B" w14:textId="3C3F9C58" w:rsidTr="00F3309C">
        <w:trPr>
          <w:gridAfter w:val="1"/>
          <w:wAfter w:w="6" w:type="dxa"/>
          <w:trHeight w:val="75"/>
          <w:jc w:val="center"/>
        </w:trPr>
        <w:tc>
          <w:tcPr>
            <w:tcW w:w="2250" w:type="dxa"/>
            <w:noWrap/>
            <w:hideMark/>
          </w:tcPr>
          <w:p w14:paraId="67128EEB" w14:textId="5A873D82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Difficulty  breathing</w:t>
            </w:r>
          </w:p>
        </w:tc>
        <w:tc>
          <w:tcPr>
            <w:tcW w:w="604" w:type="dxa"/>
            <w:noWrap/>
            <w:hideMark/>
          </w:tcPr>
          <w:p w14:paraId="4E01C302" w14:textId="31B842F2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4A3044F" w14:textId="12512B5B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CE929B5" w14:textId="3FE1FB17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7F1EAE2" w14:textId="1C4A7E44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6CCA9C2" w14:textId="1046924F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4994029" w14:textId="665617E6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63F1FB6" w14:textId="141BE266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EB07982" w14:textId="1BAB5779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3325BBF" w14:textId="2ED2F468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DF6A154" w14:textId="37997063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997DF6C" w14:textId="0E82BD57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262E5C8" w14:textId="33873B37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71628A9" w14:textId="61BD11D3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822B0BE" w14:textId="18CE4527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</w:tr>
      <w:tr w:rsidR="00E22F45" w:rsidRPr="00F3309C" w14:paraId="69014B00" w14:textId="0ED154B3" w:rsidTr="00F3309C">
        <w:trPr>
          <w:gridAfter w:val="1"/>
          <w:wAfter w:w="6" w:type="dxa"/>
          <w:trHeight w:val="75"/>
          <w:jc w:val="center"/>
        </w:trPr>
        <w:tc>
          <w:tcPr>
            <w:tcW w:w="2250" w:type="dxa"/>
            <w:noWrap/>
            <w:hideMark/>
          </w:tcPr>
          <w:p w14:paraId="0702D99C" w14:textId="6B5B3E3F" w:rsidR="00E22F45" w:rsidRPr="00F3309C" w:rsidRDefault="00E22F45" w:rsidP="00F3309C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Shortness of breath</w:t>
            </w:r>
          </w:p>
        </w:tc>
        <w:tc>
          <w:tcPr>
            <w:tcW w:w="604" w:type="dxa"/>
            <w:noWrap/>
            <w:hideMark/>
          </w:tcPr>
          <w:p w14:paraId="1362EE8C" w14:textId="20482957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5661F2A" w14:textId="7B60817E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9C671D6" w14:textId="0C2B55BF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D0A07F1" w14:textId="14373F09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4DF8349" w14:textId="2F9BBC4D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DBC8672" w14:textId="2E2BEE7F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47EB813" w14:textId="7318DB36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C68AA10" w14:textId="31195089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650F6B7" w14:textId="5741235A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B158839" w14:textId="14469D5D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417BFF5" w14:textId="1B137833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E2BFE42" w14:textId="239E02CB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8C6052A" w14:textId="7D2DEE03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FC0F845" w14:textId="32F22710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</w:tr>
      <w:tr w:rsidR="00E22F45" w:rsidRPr="00F3309C" w14:paraId="52F56C95" w14:textId="7D8C8A37" w:rsidTr="00F3309C">
        <w:trPr>
          <w:gridAfter w:val="1"/>
          <w:wAfter w:w="6" w:type="dxa"/>
          <w:trHeight w:val="75"/>
          <w:jc w:val="center"/>
        </w:trPr>
        <w:tc>
          <w:tcPr>
            <w:tcW w:w="2250" w:type="dxa"/>
            <w:noWrap/>
            <w:hideMark/>
          </w:tcPr>
          <w:p w14:paraId="3775A7F8" w14:textId="2ECBF186" w:rsidR="00E22F45" w:rsidRPr="00F3309C" w:rsidRDefault="00E22F45" w:rsidP="00F3309C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Runny nose</w:t>
            </w:r>
          </w:p>
        </w:tc>
        <w:tc>
          <w:tcPr>
            <w:tcW w:w="604" w:type="dxa"/>
            <w:noWrap/>
            <w:hideMark/>
          </w:tcPr>
          <w:p w14:paraId="37B9ADE2" w14:textId="62F1354C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9509A4E" w14:textId="5C77BCB0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43C8F0E" w14:textId="0F27AF89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248FB6E" w14:textId="2B037901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4E281A7" w14:textId="7894F7CE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094C393" w14:textId="6B32FCEE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61FCB6D" w14:textId="055829C9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CCBD329" w14:textId="34E9EE37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270BF70" w14:textId="62D0036B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A6CE29D" w14:textId="28336DCF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E3E59FC" w14:textId="5611DEE7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90ECDD3" w14:textId="6D9511EE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7FAD0C0" w14:textId="7B70C8E2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C2718F7" w14:textId="57734E37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</w:tr>
      <w:tr w:rsidR="00FB11CA" w:rsidRPr="00F3309C" w14:paraId="6D74984A" w14:textId="2142848A" w:rsidTr="00F3309C">
        <w:trPr>
          <w:gridAfter w:val="1"/>
          <w:wAfter w:w="6" w:type="dxa"/>
          <w:trHeight w:val="75"/>
          <w:jc w:val="center"/>
        </w:trPr>
        <w:tc>
          <w:tcPr>
            <w:tcW w:w="2250" w:type="dxa"/>
            <w:noWrap/>
            <w:hideMark/>
          </w:tcPr>
          <w:p w14:paraId="2C537A74" w14:textId="62179564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Headache</w:t>
            </w:r>
          </w:p>
        </w:tc>
        <w:tc>
          <w:tcPr>
            <w:tcW w:w="604" w:type="dxa"/>
            <w:noWrap/>
            <w:hideMark/>
          </w:tcPr>
          <w:p w14:paraId="198D8451" w14:textId="31CEB7E2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519D889" w14:textId="2C37B3AA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B94FA0E" w14:textId="08A3FB08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D49AF59" w14:textId="1B8F36F8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ED8AF04" w14:textId="0C601613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9BF0372" w14:textId="520FE7B3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FF401D4" w14:textId="634918BF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EF724E9" w14:textId="778B2975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A500B6F" w14:textId="2F113DD4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BD386DB" w14:textId="495AE5E6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CE937C2" w14:textId="0DB8E5C6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A0CC9CB" w14:textId="6852FADF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7A6530E" w14:textId="0C398A72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2CCFF8C" w14:textId="6CBCC79B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</w:tr>
      <w:tr w:rsidR="00E22F45" w:rsidRPr="00F3309C" w14:paraId="627679AA" w14:textId="6E9EFC0D" w:rsidTr="00F3309C">
        <w:trPr>
          <w:gridAfter w:val="1"/>
          <w:wAfter w:w="6" w:type="dxa"/>
          <w:trHeight w:val="75"/>
          <w:jc w:val="center"/>
        </w:trPr>
        <w:tc>
          <w:tcPr>
            <w:tcW w:w="2250" w:type="dxa"/>
            <w:noWrap/>
            <w:hideMark/>
          </w:tcPr>
          <w:p w14:paraId="71D89DED" w14:textId="73BB3A0D" w:rsidR="00E22F45" w:rsidRPr="00F3309C" w:rsidRDefault="00E22F45" w:rsidP="00F3309C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Sore throat</w:t>
            </w:r>
          </w:p>
        </w:tc>
        <w:tc>
          <w:tcPr>
            <w:tcW w:w="604" w:type="dxa"/>
            <w:noWrap/>
            <w:hideMark/>
          </w:tcPr>
          <w:p w14:paraId="1E2F922C" w14:textId="099A45EC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2076C3E" w14:textId="08C05C2E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1D03A3A" w14:textId="612F31AD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C568348" w14:textId="7098F90D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DF7548C" w14:textId="45330F96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4734E36" w14:textId="6FF51E00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68C2ECE" w14:textId="1E06439A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AEC6FBA" w14:textId="7894698C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B86F2B6" w14:textId="147031B0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319F62C" w14:textId="33A65CB7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605EFD1" w14:textId="771BC049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CCE0C40" w14:textId="403E4F63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7B8DF99" w14:textId="734800EF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A66BD3C" w14:textId="669148B4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</w:tr>
      <w:tr w:rsidR="00E22F45" w:rsidRPr="00F3309C" w14:paraId="7917629D" w14:textId="0DC82AF9" w:rsidTr="00F3309C">
        <w:trPr>
          <w:gridAfter w:val="1"/>
          <w:wAfter w:w="6" w:type="dxa"/>
          <w:trHeight w:val="75"/>
          <w:jc w:val="center"/>
        </w:trPr>
        <w:tc>
          <w:tcPr>
            <w:tcW w:w="2250" w:type="dxa"/>
            <w:noWrap/>
            <w:hideMark/>
          </w:tcPr>
          <w:p w14:paraId="3AE06C06" w14:textId="70AEFBB5" w:rsidR="00E22F45" w:rsidRPr="00F3309C" w:rsidRDefault="00E22F45" w:rsidP="00F3309C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Body aches </w:t>
            </w:r>
          </w:p>
        </w:tc>
        <w:tc>
          <w:tcPr>
            <w:tcW w:w="604" w:type="dxa"/>
            <w:noWrap/>
            <w:hideMark/>
          </w:tcPr>
          <w:p w14:paraId="4E9CF3ED" w14:textId="7FA59A12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646AB74" w14:textId="27962C76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02C719C" w14:textId="43EB0FE7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40F39E1" w14:textId="13EADAB7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72C15CD" w14:textId="1A1A9127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14D21A0" w14:textId="7DBD347B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70FF441" w14:textId="5189E6B2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A1A487D" w14:textId="45EBF998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D5BCC50" w14:textId="248674AF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5B9D7EE" w14:textId="4013E92D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59D8826" w14:textId="30FF27EA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77CE69B" w14:textId="09ED91F2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DA7A91D" w14:textId="2142A98F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40FB173" w14:textId="7678A7BE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</w:tr>
      <w:tr w:rsidR="00E22F45" w:rsidRPr="00F3309C" w14:paraId="35B1B8BF" w14:textId="763E88EA" w:rsidTr="00F3309C">
        <w:trPr>
          <w:gridAfter w:val="1"/>
          <w:wAfter w:w="6" w:type="dxa"/>
          <w:trHeight w:val="75"/>
          <w:jc w:val="center"/>
        </w:trPr>
        <w:tc>
          <w:tcPr>
            <w:tcW w:w="2250" w:type="dxa"/>
            <w:noWrap/>
            <w:hideMark/>
          </w:tcPr>
          <w:p w14:paraId="56E1A114" w14:textId="541D2833" w:rsidR="00E22F45" w:rsidRPr="00F3309C" w:rsidRDefault="00E22F45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Vomiting</w:t>
            </w:r>
          </w:p>
        </w:tc>
        <w:tc>
          <w:tcPr>
            <w:tcW w:w="604" w:type="dxa"/>
            <w:noWrap/>
            <w:hideMark/>
          </w:tcPr>
          <w:p w14:paraId="28ED586E" w14:textId="39A182B8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4663779" w14:textId="715CF3A0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06AE9AF" w14:textId="62764BBA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093B86A" w14:textId="20B9E1FF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E168C2E" w14:textId="58B3C5B0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20C9A1A" w14:textId="2406BF80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880A5AC" w14:textId="7A08539F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A60833C" w14:textId="51F3E4A2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3978724" w14:textId="7D1968C6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7282A99" w14:textId="5FAA4722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AF7041B" w14:textId="671D6CE9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1652F17" w14:textId="5786AE46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1CC506E" w14:textId="66A43437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6368C50" w14:textId="31932D53" w:rsidR="00E22F45" w:rsidRPr="00F3309C" w:rsidRDefault="00E22F45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</w:tr>
      <w:tr w:rsidR="00FB11CA" w:rsidRPr="00F3309C" w14:paraId="429D84D7" w14:textId="5EC7F973" w:rsidTr="00F3309C">
        <w:trPr>
          <w:gridAfter w:val="1"/>
          <w:wAfter w:w="6" w:type="dxa"/>
          <w:trHeight w:val="75"/>
          <w:jc w:val="center"/>
        </w:trPr>
        <w:tc>
          <w:tcPr>
            <w:tcW w:w="2250" w:type="dxa"/>
            <w:noWrap/>
            <w:hideMark/>
          </w:tcPr>
          <w:p w14:paraId="7E094F80" w14:textId="15221A81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Diarrhea</w:t>
            </w:r>
          </w:p>
        </w:tc>
        <w:tc>
          <w:tcPr>
            <w:tcW w:w="604" w:type="dxa"/>
            <w:noWrap/>
            <w:hideMark/>
          </w:tcPr>
          <w:p w14:paraId="463BD2B7" w14:textId="65B3A16F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00FA202" w14:textId="6F61CC09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2C6CCF0" w14:textId="6924B4FB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FB10574" w14:textId="6D54E041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52B1AC4" w14:textId="70AF2D0E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1AEB30F" w14:textId="0DC855BD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61828D4" w14:textId="32762C12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7E339E2" w14:textId="6EEAAD20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3309061" w14:textId="7CBDCD6B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91FCE0D" w14:textId="48148771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430A962" w14:textId="5737DD7E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9DED437" w14:textId="4AC8864C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48023FE" w14:textId="48D506E3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2F16ADD" w14:textId="60E22590" w:rsidR="00354444" w:rsidRPr="00F3309C" w:rsidRDefault="00354444" w:rsidP="00354444">
            <w:pPr>
              <w:jc w:val="center"/>
              <w:rPr>
                <w:noProof/>
                <w:sz w:val="20"/>
                <w:szCs w:val="20"/>
                <w:lang w:val="en-GB"/>
              </w:rPr>
            </w:pPr>
            <w:r w:rsidRPr="00F3309C">
              <w:rPr>
                <w:noProof/>
                <w:sz w:val="20"/>
                <w:szCs w:val="20"/>
                <w:lang w:val="en-GB"/>
              </w:rPr>
              <w:t> </w:t>
            </w:r>
          </w:p>
        </w:tc>
      </w:tr>
      <w:tr w:rsidR="00354444" w:rsidRPr="00F3309C" w14:paraId="66E03096" w14:textId="175DF945" w:rsidTr="00F3309C">
        <w:trPr>
          <w:trHeight w:val="75"/>
          <w:jc w:val="center"/>
        </w:trPr>
        <w:tc>
          <w:tcPr>
            <w:tcW w:w="10725" w:type="dxa"/>
            <w:gridSpan w:val="16"/>
            <w:noWrap/>
            <w:hideMark/>
          </w:tcPr>
          <w:p w14:paraId="2AAA6B39" w14:textId="3BFDEC45" w:rsidR="00354444" w:rsidRPr="00F3309C" w:rsidRDefault="00354444">
            <w:pPr>
              <w:jc w:val="center"/>
              <w:rPr>
                <w:b/>
                <w:bCs/>
                <w:noProof/>
                <w:lang w:val="en-GB"/>
              </w:rPr>
            </w:pPr>
            <w:r w:rsidRPr="00F3309C">
              <w:rPr>
                <w:b/>
                <w:bCs/>
                <w:noProof/>
                <w:lang w:val="en-GB"/>
              </w:rPr>
              <w:t xml:space="preserve">Temperature      </w:t>
            </w:r>
          </w:p>
        </w:tc>
      </w:tr>
      <w:tr w:rsidR="00FB11CA" w:rsidRPr="00F3309C" w14:paraId="0010FAAA" w14:textId="278FE5B9" w:rsidTr="00F55D3D">
        <w:trPr>
          <w:gridAfter w:val="1"/>
          <w:wAfter w:w="6" w:type="dxa"/>
          <w:trHeight w:val="75"/>
          <w:jc w:val="center"/>
        </w:trPr>
        <w:tc>
          <w:tcPr>
            <w:tcW w:w="2250" w:type="dxa"/>
            <w:noWrap/>
            <w:hideMark/>
          </w:tcPr>
          <w:p w14:paraId="41B4E440" w14:textId="474FF948" w:rsidR="00354444" w:rsidRPr="00F3309C" w:rsidRDefault="003745E9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M</w:t>
            </w:r>
            <w:r w:rsidR="00354444" w:rsidRPr="00F3309C">
              <w:rPr>
                <w:noProof/>
                <w:lang w:val="en-GB"/>
              </w:rPr>
              <w:t xml:space="preserve">orning </w:t>
            </w:r>
            <w:r w:rsidRPr="00F3309C">
              <w:rPr>
                <w:noProof/>
                <w:lang w:val="en-GB"/>
              </w:rPr>
              <w:t xml:space="preserve"> temp</w:t>
            </w:r>
            <w:r w:rsidR="00354444" w:rsidRPr="00F3309C">
              <w:rPr>
                <w:noProof/>
                <w:lang w:val="en-GB"/>
              </w:rPr>
              <w:t xml:space="preserve">    </w:t>
            </w:r>
          </w:p>
        </w:tc>
        <w:tc>
          <w:tcPr>
            <w:tcW w:w="604" w:type="dxa"/>
            <w:noWrap/>
            <w:hideMark/>
          </w:tcPr>
          <w:p w14:paraId="53A54B75" w14:textId="14FEDFFE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74CAA0A" w14:textId="0D638464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2323EFA4" w14:textId="08889EFA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4AD2E49" w14:textId="5FE20C01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2D579D6" w14:textId="7F77E247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2B00659" w14:textId="2B152474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5F044B2" w14:textId="39D2E7C0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D883BA1" w14:textId="17E81818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E646D99" w14:textId="6548A0A8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DCD65D0" w14:textId="257497BB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BC7D798" w14:textId="2D34A5D9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CA6C5F3" w14:textId="2AA8AE98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504CC0D" w14:textId="167A5268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414E139" w14:textId="488B6AE0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</w:tr>
      <w:tr w:rsidR="00FB11CA" w:rsidRPr="00F3309C" w14:paraId="011DFBF2" w14:textId="0E98470F" w:rsidTr="00F55D3D">
        <w:trPr>
          <w:gridAfter w:val="1"/>
          <w:wAfter w:w="6" w:type="dxa"/>
          <w:trHeight w:val="78"/>
          <w:jc w:val="center"/>
        </w:trPr>
        <w:tc>
          <w:tcPr>
            <w:tcW w:w="2250" w:type="dxa"/>
            <w:noWrap/>
            <w:hideMark/>
          </w:tcPr>
          <w:p w14:paraId="266CECA7" w14:textId="028F16C4" w:rsidR="00354444" w:rsidRPr="00F3309C" w:rsidRDefault="003745E9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E</w:t>
            </w:r>
            <w:r w:rsidR="00354444" w:rsidRPr="00F3309C">
              <w:rPr>
                <w:noProof/>
                <w:lang w:val="en-GB"/>
              </w:rPr>
              <w:t>vening</w:t>
            </w:r>
            <w:r w:rsidRPr="00F3309C">
              <w:rPr>
                <w:noProof/>
                <w:lang w:val="en-GB"/>
              </w:rPr>
              <w:t xml:space="preserve"> temp</w:t>
            </w:r>
          </w:p>
        </w:tc>
        <w:tc>
          <w:tcPr>
            <w:tcW w:w="604" w:type="dxa"/>
            <w:noWrap/>
            <w:hideMark/>
          </w:tcPr>
          <w:p w14:paraId="3BBF928B" w14:textId="28D1F8B4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F65B7BC" w14:textId="7715D32B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C468DF3" w14:textId="5C8A983B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9C07745" w14:textId="0E7006C9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7AC83A8" w14:textId="58CCBEDA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043ABF5" w14:textId="60651E0B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F28AD5F" w14:textId="4F70CD6E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768FE768" w14:textId="6A6F53BA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09AD6F14" w14:textId="36EF8112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5D8B1420" w14:textId="70CA0BCE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3B9002DE" w14:textId="6A1C3FEA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1ECAC010" w14:textId="45801E4E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6336EF3E" w14:textId="1F7F73CF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  <w:tc>
          <w:tcPr>
            <w:tcW w:w="605" w:type="dxa"/>
            <w:noWrap/>
            <w:hideMark/>
          </w:tcPr>
          <w:p w14:paraId="4D84F7A9" w14:textId="19C0A575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> </w:t>
            </w:r>
          </w:p>
        </w:tc>
      </w:tr>
      <w:tr w:rsidR="00354444" w:rsidRPr="00F3309C" w14:paraId="05DEF93C" w14:textId="45872BB1" w:rsidTr="00F3309C">
        <w:trPr>
          <w:trHeight w:val="293"/>
          <w:jc w:val="center"/>
        </w:trPr>
        <w:tc>
          <w:tcPr>
            <w:tcW w:w="10725" w:type="dxa"/>
            <w:gridSpan w:val="16"/>
            <w:vMerge w:val="restart"/>
            <w:hideMark/>
          </w:tcPr>
          <w:p w14:paraId="1F500636" w14:textId="16611097" w:rsidR="009B6D73" w:rsidRPr="00F3309C" w:rsidRDefault="00354444" w:rsidP="00F55D3D">
            <w:pPr>
              <w:jc w:val="center"/>
              <w:rPr>
                <w:noProof/>
                <w:lang w:val="en-GB"/>
              </w:rPr>
            </w:pPr>
            <w:r w:rsidRPr="00F3309C">
              <w:rPr>
                <w:noProof/>
                <w:lang w:val="en-GB"/>
              </w:rPr>
              <w:t xml:space="preserve">Please check any symptoms that you experience during the 14 </w:t>
            </w:r>
            <w:r w:rsidR="00F23C06" w:rsidRPr="00F3309C">
              <w:rPr>
                <w:noProof/>
                <w:lang w:val="en-GB"/>
              </w:rPr>
              <w:t>nights</w:t>
            </w:r>
            <w:r w:rsidRPr="00F3309C">
              <w:rPr>
                <w:noProof/>
                <w:lang w:val="en-GB"/>
              </w:rPr>
              <w:t xml:space="preserve"> period.</w:t>
            </w:r>
          </w:p>
          <w:p w14:paraId="026EE6D4" w14:textId="7668ED53" w:rsidR="009B6D73" w:rsidRPr="00F3309C" w:rsidRDefault="00354444" w:rsidP="00F55D3D">
            <w:pPr>
              <w:jc w:val="center"/>
              <w:rPr>
                <w:b/>
                <w:bCs/>
                <w:noProof/>
                <w:lang w:val="en-GB"/>
              </w:rPr>
            </w:pPr>
            <w:r w:rsidRPr="00F3309C">
              <w:rPr>
                <w:b/>
                <w:bCs/>
                <w:noProof/>
                <w:lang w:val="en-GB"/>
              </w:rPr>
              <w:t>If you have a fever above 38.0 C</w:t>
            </w:r>
            <w:r w:rsidR="009B6D73" w:rsidRPr="00F3309C">
              <w:rPr>
                <w:b/>
                <w:bCs/>
                <w:noProof/>
                <w:lang w:val="en-GB"/>
              </w:rPr>
              <w:t xml:space="preserve"> do not go to the clinic</w:t>
            </w:r>
            <w:r w:rsidR="00F55D3D">
              <w:rPr>
                <w:b/>
                <w:bCs/>
                <w:noProof/>
                <w:lang w:val="en-GB"/>
              </w:rPr>
              <w:t xml:space="preserve"> and call your doctor.</w:t>
            </w:r>
          </w:p>
          <w:p w14:paraId="76571574" w14:textId="716BD16A" w:rsidR="00354444" w:rsidRPr="00F3309C" w:rsidRDefault="009B6D73" w:rsidP="00F55D3D">
            <w:pPr>
              <w:jc w:val="center"/>
              <w:rPr>
                <w:noProof/>
                <w:lang w:val="en-GB"/>
              </w:rPr>
            </w:pPr>
            <w:r w:rsidRPr="00F3309C">
              <w:rPr>
                <w:b/>
                <w:bCs/>
                <w:noProof/>
                <w:lang w:val="en-GB"/>
              </w:rPr>
              <w:t>A</w:t>
            </w:r>
            <w:r w:rsidR="00F23C06" w:rsidRPr="00F3309C">
              <w:rPr>
                <w:b/>
                <w:bCs/>
                <w:noProof/>
                <w:lang w:val="en-GB"/>
              </w:rPr>
              <w:t>void</w:t>
            </w:r>
            <w:r w:rsidR="00354444" w:rsidRPr="00F3309C">
              <w:rPr>
                <w:b/>
                <w:bCs/>
                <w:noProof/>
                <w:lang w:val="en-GB"/>
              </w:rPr>
              <w:t xml:space="preserve"> contact with people</w:t>
            </w:r>
            <w:r w:rsidR="00F55D3D">
              <w:rPr>
                <w:b/>
                <w:bCs/>
                <w:noProof/>
                <w:lang w:val="en-GB"/>
              </w:rPr>
              <w:t>.</w:t>
            </w:r>
            <w:r w:rsidR="00354444" w:rsidRPr="00F3309C">
              <w:rPr>
                <w:b/>
                <w:bCs/>
                <w:noProof/>
                <w:lang w:val="en-GB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3309C">
              <w:rPr>
                <w:noProof/>
                <w:lang w:val="en-GB"/>
              </w:rPr>
              <w:t xml:space="preserve">Inform </w:t>
            </w:r>
            <w:r w:rsidR="00F55D3D">
              <w:rPr>
                <w:noProof/>
                <w:lang w:val="en-GB"/>
              </w:rPr>
              <w:t>your supervisor and Q14 focal point.</w:t>
            </w:r>
            <w:r w:rsidR="00354444" w:rsidRPr="00F3309C">
              <w:rPr>
                <w:noProof/>
                <w:lang w:val="en-GB"/>
              </w:rPr>
              <w:br/>
            </w:r>
          </w:p>
        </w:tc>
      </w:tr>
      <w:tr w:rsidR="00354444" w:rsidRPr="00F3309C" w14:paraId="28A6F9D0" w14:textId="49DE5E76" w:rsidTr="00F3309C">
        <w:trPr>
          <w:trHeight w:val="293"/>
          <w:jc w:val="center"/>
        </w:trPr>
        <w:tc>
          <w:tcPr>
            <w:tcW w:w="10725" w:type="dxa"/>
            <w:gridSpan w:val="16"/>
            <w:vMerge/>
            <w:hideMark/>
          </w:tcPr>
          <w:p w14:paraId="560C15A3" w14:textId="6DA40EF2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</w:p>
        </w:tc>
      </w:tr>
      <w:tr w:rsidR="00354444" w:rsidRPr="00F3309C" w14:paraId="79D51DF3" w14:textId="4C4A51F5" w:rsidTr="00F3309C">
        <w:trPr>
          <w:trHeight w:val="293"/>
          <w:jc w:val="center"/>
        </w:trPr>
        <w:tc>
          <w:tcPr>
            <w:tcW w:w="10725" w:type="dxa"/>
            <w:gridSpan w:val="16"/>
            <w:vMerge/>
            <w:hideMark/>
          </w:tcPr>
          <w:p w14:paraId="28CA741C" w14:textId="72DABB24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</w:p>
        </w:tc>
      </w:tr>
      <w:tr w:rsidR="00354444" w:rsidRPr="00F3309C" w14:paraId="739CC6A7" w14:textId="0B9B0ECC" w:rsidTr="00F3309C">
        <w:trPr>
          <w:trHeight w:val="293"/>
          <w:jc w:val="center"/>
        </w:trPr>
        <w:tc>
          <w:tcPr>
            <w:tcW w:w="10725" w:type="dxa"/>
            <w:gridSpan w:val="16"/>
            <w:vMerge/>
            <w:hideMark/>
          </w:tcPr>
          <w:p w14:paraId="7FEAF3ED" w14:textId="5A3703D6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</w:p>
        </w:tc>
      </w:tr>
      <w:tr w:rsidR="00354444" w:rsidRPr="00F3309C" w14:paraId="5870400E" w14:textId="7072010A" w:rsidTr="00F3309C">
        <w:trPr>
          <w:trHeight w:val="293"/>
          <w:jc w:val="center"/>
        </w:trPr>
        <w:tc>
          <w:tcPr>
            <w:tcW w:w="10725" w:type="dxa"/>
            <w:gridSpan w:val="16"/>
            <w:vMerge/>
            <w:hideMark/>
          </w:tcPr>
          <w:p w14:paraId="607DE2BC" w14:textId="56936AB8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</w:p>
        </w:tc>
      </w:tr>
      <w:tr w:rsidR="00354444" w:rsidRPr="00F3309C" w14:paraId="37E0D4C7" w14:textId="45747E90" w:rsidTr="00F3309C">
        <w:trPr>
          <w:trHeight w:val="293"/>
          <w:jc w:val="center"/>
        </w:trPr>
        <w:tc>
          <w:tcPr>
            <w:tcW w:w="10725" w:type="dxa"/>
            <w:gridSpan w:val="16"/>
            <w:vMerge/>
            <w:hideMark/>
          </w:tcPr>
          <w:p w14:paraId="6556394B" w14:textId="609EC18F" w:rsidR="00354444" w:rsidRPr="00F3309C" w:rsidRDefault="00354444" w:rsidP="00354444">
            <w:pPr>
              <w:jc w:val="center"/>
              <w:rPr>
                <w:noProof/>
                <w:lang w:val="en-GB"/>
              </w:rPr>
            </w:pPr>
          </w:p>
        </w:tc>
      </w:tr>
    </w:tbl>
    <w:p w14:paraId="63A35769" w14:textId="0C5D448B" w:rsidR="0097502D" w:rsidRPr="00F3309C" w:rsidRDefault="0097502D" w:rsidP="00FB11CA">
      <w:pPr>
        <w:jc w:val="both"/>
        <w:rPr>
          <w:rFonts w:ascii="Open Sans" w:eastAsia="Calibri" w:hAnsi="Open Sans" w:cs="Open Sans"/>
          <w:sz w:val="20"/>
          <w:szCs w:val="20"/>
          <w:lang w:val="en-GB"/>
        </w:rPr>
      </w:pPr>
    </w:p>
    <w:sectPr w:rsidR="0097502D" w:rsidRPr="00F3309C" w:rsidSect="00D468B7">
      <w:footerReference w:type="default" r:id="rId7"/>
      <w:headerReference w:type="first" r:id="rId8"/>
      <w:pgSz w:w="11900" w:h="16840"/>
      <w:pgMar w:top="1440" w:right="1440" w:bottom="1440" w:left="1440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0EF6F" w14:textId="77777777" w:rsidR="00D42AE4" w:rsidRDefault="00D42AE4" w:rsidP="0084455B">
      <w:r>
        <w:separator/>
      </w:r>
    </w:p>
  </w:endnote>
  <w:endnote w:type="continuationSeparator" w:id="0">
    <w:p w14:paraId="69259BF9" w14:textId="77777777" w:rsidR="00D42AE4" w:rsidRDefault="00D42AE4" w:rsidP="0084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C7A72" w14:textId="083715F2" w:rsidR="00846343" w:rsidRPr="00846343" w:rsidRDefault="00FA3C2E">
    <w:pPr>
      <w:pStyle w:val="Footer"/>
      <w:rPr>
        <w:rFonts w:ascii="Open Sans" w:hAnsi="Open Sans"/>
        <w:sz w:val="15"/>
        <w:szCs w:val="15"/>
      </w:rPr>
    </w:pPr>
    <w:r w:rsidRPr="0093010E">
      <w:rPr>
        <w:rFonts w:ascii="Open Sans" w:hAnsi="Open Sans"/>
        <w:sz w:val="15"/>
        <w:szCs w:val="15"/>
      </w:rPr>
      <w:t>P</w:t>
    </w:r>
    <w:r>
      <w:rPr>
        <w:rFonts w:ascii="Open Sans" w:hAnsi="Open Sans"/>
        <w:sz w:val="15"/>
        <w:szCs w:val="15"/>
      </w:rPr>
      <w:t>age</w:t>
    </w:r>
    <w:r w:rsidRPr="0093010E">
      <w:rPr>
        <w:rFonts w:ascii="Open Sans" w:hAnsi="Open Sans"/>
        <w:sz w:val="15"/>
        <w:szCs w:val="15"/>
      </w:rPr>
      <w:t xml:space="preserve"> </w:t>
    </w:r>
    <w:r w:rsidRPr="0093010E">
      <w:rPr>
        <w:rFonts w:ascii="Open Sans" w:hAnsi="Open Sans"/>
        <w:sz w:val="15"/>
        <w:szCs w:val="15"/>
      </w:rPr>
      <w:fldChar w:fldCharType="begin"/>
    </w:r>
    <w:r w:rsidRPr="0093010E">
      <w:rPr>
        <w:rFonts w:ascii="Open Sans" w:hAnsi="Open Sans"/>
        <w:sz w:val="15"/>
        <w:szCs w:val="15"/>
      </w:rPr>
      <w:instrText>PAGE  \* Arabic  \* MERGEFORMAT</w:instrText>
    </w:r>
    <w:r w:rsidRPr="0093010E">
      <w:rPr>
        <w:rFonts w:ascii="Open Sans" w:hAnsi="Open Sans"/>
        <w:sz w:val="15"/>
        <w:szCs w:val="15"/>
      </w:rPr>
      <w:fldChar w:fldCharType="separate"/>
    </w:r>
    <w:r w:rsidR="00AF23D9">
      <w:rPr>
        <w:rFonts w:ascii="Open Sans" w:hAnsi="Open Sans"/>
        <w:noProof/>
        <w:sz w:val="15"/>
        <w:szCs w:val="15"/>
      </w:rPr>
      <w:t>3</w:t>
    </w:r>
    <w:r w:rsidRPr="0093010E">
      <w:rPr>
        <w:rFonts w:ascii="Open Sans" w:hAnsi="Open Sans"/>
        <w:sz w:val="15"/>
        <w:szCs w:val="15"/>
      </w:rPr>
      <w:fldChar w:fldCharType="end"/>
    </w:r>
    <w:r>
      <w:rPr>
        <w:rFonts w:ascii="Open Sans" w:hAnsi="Open Sans"/>
        <w:sz w:val="15"/>
        <w:szCs w:val="15"/>
      </w:rPr>
      <w:t xml:space="preserve"> of</w:t>
    </w:r>
    <w:r w:rsidRPr="0093010E">
      <w:rPr>
        <w:rFonts w:ascii="Open Sans" w:hAnsi="Open Sans"/>
        <w:sz w:val="15"/>
        <w:szCs w:val="15"/>
      </w:rPr>
      <w:t xml:space="preserve"> </w:t>
    </w:r>
    <w:r w:rsidRPr="0093010E">
      <w:rPr>
        <w:rFonts w:ascii="Open Sans" w:hAnsi="Open Sans"/>
        <w:sz w:val="15"/>
        <w:szCs w:val="15"/>
      </w:rPr>
      <w:fldChar w:fldCharType="begin"/>
    </w:r>
    <w:r w:rsidRPr="0093010E">
      <w:rPr>
        <w:rFonts w:ascii="Open Sans" w:hAnsi="Open Sans"/>
        <w:sz w:val="15"/>
        <w:szCs w:val="15"/>
      </w:rPr>
      <w:instrText>NUMPAGES  \* Arabic  \* MERGEFORMAT</w:instrText>
    </w:r>
    <w:r w:rsidRPr="0093010E">
      <w:rPr>
        <w:rFonts w:ascii="Open Sans" w:hAnsi="Open Sans"/>
        <w:sz w:val="15"/>
        <w:szCs w:val="15"/>
      </w:rPr>
      <w:fldChar w:fldCharType="separate"/>
    </w:r>
    <w:r w:rsidR="00AF23D9">
      <w:rPr>
        <w:rFonts w:ascii="Open Sans" w:hAnsi="Open Sans"/>
        <w:noProof/>
        <w:sz w:val="15"/>
        <w:szCs w:val="15"/>
      </w:rPr>
      <w:t>3</w:t>
    </w:r>
    <w:r w:rsidRPr="0093010E">
      <w:rPr>
        <w:rFonts w:ascii="Open Sans" w:hAnsi="Open Sans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E2394" w14:textId="77777777" w:rsidR="00D42AE4" w:rsidRDefault="00D42AE4" w:rsidP="0084455B">
      <w:r>
        <w:separator/>
      </w:r>
    </w:p>
  </w:footnote>
  <w:footnote w:type="continuationSeparator" w:id="0">
    <w:p w14:paraId="4F5A249A" w14:textId="77777777" w:rsidR="00D42AE4" w:rsidRDefault="00D42AE4" w:rsidP="0084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4E8C" w14:textId="77777777" w:rsidR="00D468B7" w:rsidRDefault="00D468B7" w:rsidP="005A7AA3">
    <w:pPr>
      <w:pStyle w:val="Header"/>
      <w:rPr>
        <w:rFonts w:ascii="Open Sans" w:hAnsi="Open Sans"/>
        <w:noProof/>
        <w:sz w:val="17"/>
        <w:szCs w:val="17"/>
        <w:lang w:eastAsia="it-IT"/>
      </w:rPr>
    </w:pPr>
  </w:p>
  <w:p w14:paraId="4D6D03B9" w14:textId="77777777" w:rsidR="00D468B7" w:rsidRDefault="00D468B7" w:rsidP="005A7AA3">
    <w:pPr>
      <w:pStyle w:val="Header"/>
      <w:rPr>
        <w:rFonts w:ascii="Open Sans" w:hAnsi="Open Sans"/>
        <w:noProof/>
        <w:sz w:val="17"/>
        <w:szCs w:val="17"/>
        <w:lang w:eastAsia="it-IT"/>
      </w:rPr>
    </w:pPr>
  </w:p>
  <w:p w14:paraId="1148C604" w14:textId="2FE14ABD" w:rsidR="00453C44" w:rsidRDefault="00453C44" w:rsidP="00D468B7">
    <w:pPr>
      <w:pStyle w:val="Header"/>
      <w:jc w:val="center"/>
      <w:rPr>
        <w:rFonts w:ascii="Open Sans" w:hAnsi="Open Sans"/>
        <w:b/>
        <w:bCs/>
        <w:noProof/>
        <w:sz w:val="17"/>
        <w:szCs w:val="17"/>
        <w:lang w:eastAsia="it-IT"/>
      </w:rPr>
    </w:pPr>
  </w:p>
  <w:p w14:paraId="70FD12D8" w14:textId="77777777" w:rsidR="00453C44" w:rsidRPr="00D468B7" w:rsidRDefault="00453C44" w:rsidP="00D468B7">
    <w:pPr>
      <w:pStyle w:val="Header"/>
      <w:jc w:val="center"/>
      <w:rPr>
        <w:rFonts w:ascii="Open Sans" w:hAnsi="Open Sans"/>
        <w:b/>
        <w:bCs/>
        <w:sz w:val="17"/>
        <w:szCs w:val="17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F216"/>
    <w:multiLevelType w:val="hybridMultilevel"/>
    <w:tmpl w:val="AF991A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DA712D"/>
    <w:multiLevelType w:val="hybridMultilevel"/>
    <w:tmpl w:val="5B788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7645"/>
    <w:multiLevelType w:val="hybridMultilevel"/>
    <w:tmpl w:val="F038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73E0"/>
    <w:multiLevelType w:val="hybridMultilevel"/>
    <w:tmpl w:val="3110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92F22"/>
    <w:multiLevelType w:val="hybridMultilevel"/>
    <w:tmpl w:val="E942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432"/>
    <w:multiLevelType w:val="hybridMultilevel"/>
    <w:tmpl w:val="8D64C604"/>
    <w:lvl w:ilvl="0" w:tplc="2118F88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3714DE2"/>
    <w:multiLevelType w:val="hybridMultilevel"/>
    <w:tmpl w:val="4E6AB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D3903"/>
    <w:multiLevelType w:val="hybridMultilevel"/>
    <w:tmpl w:val="E1A8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77CB3"/>
    <w:multiLevelType w:val="hybridMultilevel"/>
    <w:tmpl w:val="4BBA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B07A9"/>
    <w:multiLevelType w:val="hybridMultilevel"/>
    <w:tmpl w:val="9BA475C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C3835"/>
    <w:multiLevelType w:val="hybridMultilevel"/>
    <w:tmpl w:val="2A1A6AAE"/>
    <w:lvl w:ilvl="0" w:tplc="357057F8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36467"/>
    <w:multiLevelType w:val="hybridMultilevel"/>
    <w:tmpl w:val="41722A96"/>
    <w:lvl w:ilvl="0" w:tplc="0409000F">
      <w:start w:val="1"/>
      <w:numFmt w:val="decimal"/>
      <w:lvlText w:val="%1."/>
      <w:lvlJc w:val="left"/>
      <w:pPr>
        <w:ind w:left="1552" w:hanging="360"/>
      </w:pPr>
    </w:lvl>
    <w:lvl w:ilvl="1" w:tplc="04090019" w:tentative="1">
      <w:start w:val="1"/>
      <w:numFmt w:val="lowerLetter"/>
      <w:lvlText w:val="%2."/>
      <w:lvlJc w:val="left"/>
      <w:pPr>
        <w:ind w:left="2272" w:hanging="360"/>
      </w:pPr>
    </w:lvl>
    <w:lvl w:ilvl="2" w:tplc="0409001B" w:tentative="1">
      <w:start w:val="1"/>
      <w:numFmt w:val="lowerRoman"/>
      <w:lvlText w:val="%3."/>
      <w:lvlJc w:val="right"/>
      <w:pPr>
        <w:ind w:left="2992" w:hanging="180"/>
      </w:pPr>
    </w:lvl>
    <w:lvl w:ilvl="3" w:tplc="0409000F" w:tentative="1">
      <w:start w:val="1"/>
      <w:numFmt w:val="decimal"/>
      <w:lvlText w:val="%4."/>
      <w:lvlJc w:val="left"/>
      <w:pPr>
        <w:ind w:left="3712" w:hanging="360"/>
      </w:pPr>
    </w:lvl>
    <w:lvl w:ilvl="4" w:tplc="04090019" w:tentative="1">
      <w:start w:val="1"/>
      <w:numFmt w:val="lowerLetter"/>
      <w:lvlText w:val="%5."/>
      <w:lvlJc w:val="left"/>
      <w:pPr>
        <w:ind w:left="4432" w:hanging="360"/>
      </w:pPr>
    </w:lvl>
    <w:lvl w:ilvl="5" w:tplc="0409001B" w:tentative="1">
      <w:start w:val="1"/>
      <w:numFmt w:val="lowerRoman"/>
      <w:lvlText w:val="%6."/>
      <w:lvlJc w:val="right"/>
      <w:pPr>
        <w:ind w:left="5152" w:hanging="180"/>
      </w:pPr>
    </w:lvl>
    <w:lvl w:ilvl="6" w:tplc="0409000F" w:tentative="1">
      <w:start w:val="1"/>
      <w:numFmt w:val="decimal"/>
      <w:lvlText w:val="%7."/>
      <w:lvlJc w:val="left"/>
      <w:pPr>
        <w:ind w:left="5872" w:hanging="360"/>
      </w:pPr>
    </w:lvl>
    <w:lvl w:ilvl="7" w:tplc="04090019" w:tentative="1">
      <w:start w:val="1"/>
      <w:numFmt w:val="lowerLetter"/>
      <w:lvlText w:val="%8."/>
      <w:lvlJc w:val="left"/>
      <w:pPr>
        <w:ind w:left="6592" w:hanging="360"/>
      </w:pPr>
    </w:lvl>
    <w:lvl w:ilvl="8" w:tplc="04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12" w15:restartNumberingAfterBreak="0">
    <w:nsid w:val="47FD015C"/>
    <w:multiLevelType w:val="hybridMultilevel"/>
    <w:tmpl w:val="A76C6524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60E46"/>
    <w:multiLevelType w:val="hybridMultilevel"/>
    <w:tmpl w:val="70BAF58C"/>
    <w:lvl w:ilvl="0" w:tplc="2678316C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E3259"/>
    <w:multiLevelType w:val="hybridMultilevel"/>
    <w:tmpl w:val="539E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A1331"/>
    <w:multiLevelType w:val="hybridMultilevel"/>
    <w:tmpl w:val="D624CA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800E7"/>
    <w:multiLevelType w:val="hybridMultilevel"/>
    <w:tmpl w:val="3332657E"/>
    <w:lvl w:ilvl="0" w:tplc="0C92B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F2DBC"/>
    <w:multiLevelType w:val="hybridMultilevel"/>
    <w:tmpl w:val="7D3C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763B8"/>
    <w:multiLevelType w:val="hybridMultilevel"/>
    <w:tmpl w:val="CF26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72378"/>
    <w:multiLevelType w:val="hybridMultilevel"/>
    <w:tmpl w:val="B90EB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86F2F"/>
    <w:multiLevelType w:val="hybridMultilevel"/>
    <w:tmpl w:val="71EA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B1568"/>
    <w:multiLevelType w:val="hybridMultilevel"/>
    <w:tmpl w:val="89225DE0"/>
    <w:lvl w:ilvl="0" w:tplc="2B60636C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23328"/>
    <w:multiLevelType w:val="hybridMultilevel"/>
    <w:tmpl w:val="7200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9"/>
  </w:num>
  <w:num w:numId="5">
    <w:abstractNumId w:val="1"/>
  </w:num>
  <w:num w:numId="6">
    <w:abstractNumId w:val="14"/>
  </w:num>
  <w:num w:numId="7">
    <w:abstractNumId w:val="22"/>
  </w:num>
  <w:num w:numId="8">
    <w:abstractNumId w:val="5"/>
  </w:num>
  <w:num w:numId="9">
    <w:abstractNumId w:val="20"/>
  </w:num>
  <w:num w:numId="10">
    <w:abstractNumId w:val="3"/>
  </w:num>
  <w:num w:numId="11">
    <w:abstractNumId w:val="11"/>
  </w:num>
  <w:num w:numId="12">
    <w:abstractNumId w:val="21"/>
  </w:num>
  <w:num w:numId="13">
    <w:abstractNumId w:val="0"/>
  </w:num>
  <w:num w:numId="14">
    <w:abstractNumId w:val="15"/>
  </w:num>
  <w:num w:numId="15">
    <w:abstractNumId w:val="9"/>
  </w:num>
  <w:num w:numId="16">
    <w:abstractNumId w:val="12"/>
  </w:num>
  <w:num w:numId="17">
    <w:abstractNumId w:val="17"/>
  </w:num>
  <w:num w:numId="18">
    <w:abstractNumId w:val="8"/>
  </w:num>
  <w:num w:numId="19">
    <w:abstractNumId w:val="16"/>
  </w:num>
  <w:num w:numId="20">
    <w:abstractNumId w:val="7"/>
  </w:num>
  <w:num w:numId="21">
    <w:abstractNumId w:val="2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1D"/>
    <w:rsid w:val="0000481A"/>
    <w:rsid w:val="0001016B"/>
    <w:rsid w:val="000140EA"/>
    <w:rsid w:val="000169C3"/>
    <w:rsid w:val="00016FBB"/>
    <w:rsid w:val="00024059"/>
    <w:rsid w:val="0006201D"/>
    <w:rsid w:val="00063B42"/>
    <w:rsid w:val="000653BB"/>
    <w:rsid w:val="00081FC6"/>
    <w:rsid w:val="00097AAE"/>
    <w:rsid w:val="000A77FC"/>
    <w:rsid w:val="000B027E"/>
    <w:rsid w:val="000B2A37"/>
    <w:rsid w:val="000C4C1C"/>
    <w:rsid w:val="000C5CD7"/>
    <w:rsid w:val="000E1427"/>
    <w:rsid w:val="000E5DA9"/>
    <w:rsid w:val="000E6FFA"/>
    <w:rsid w:val="000E7082"/>
    <w:rsid w:val="00110365"/>
    <w:rsid w:val="00151CEF"/>
    <w:rsid w:val="0016697B"/>
    <w:rsid w:val="00167314"/>
    <w:rsid w:val="001736F5"/>
    <w:rsid w:val="00184FE9"/>
    <w:rsid w:val="00194D1E"/>
    <w:rsid w:val="001B379A"/>
    <w:rsid w:val="001B68A7"/>
    <w:rsid w:val="001E4D17"/>
    <w:rsid w:val="002137FB"/>
    <w:rsid w:val="00230D1D"/>
    <w:rsid w:val="0023443D"/>
    <w:rsid w:val="00274917"/>
    <w:rsid w:val="002874B1"/>
    <w:rsid w:val="002900CF"/>
    <w:rsid w:val="00295472"/>
    <w:rsid w:val="002974D0"/>
    <w:rsid w:val="002A585F"/>
    <w:rsid w:val="002A77FA"/>
    <w:rsid w:val="002C5587"/>
    <w:rsid w:val="002C7D7C"/>
    <w:rsid w:val="002D5F44"/>
    <w:rsid w:val="002E1075"/>
    <w:rsid w:val="002E1691"/>
    <w:rsid w:val="003018CC"/>
    <w:rsid w:val="0030253B"/>
    <w:rsid w:val="00310B38"/>
    <w:rsid w:val="003216F8"/>
    <w:rsid w:val="003272AB"/>
    <w:rsid w:val="0033496F"/>
    <w:rsid w:val="003364E4"/>
    <w:rsid w:val="00354444"/>
    <w:rsid w:val="00360101"/>
    <w:rsid w:val="003745E9"/>
    <w:rsid w:val="003804FF"/>
    <w:rsid w:val="003A690F"/>
    <w:rsid w:val="003B58EB"/>
    <w:rsid w:val="003D4458"/>
    <w:rsid w:val="003E0389"/>
    <w:rsid w:val="003E1E80"/>
    <w:rsid w:val="003E36F0"/>
    <w:rsid w:val="00410432"/>
    <w:rsid w:val="00422130"/>
    <w:rsid w:val="00433331"/>
    <w:rsid w:val="004370E1"/>
    <w:rsid w:val="00446D34"/>
    <w:rsid w:val="00453500"/>
    <w:rsid w:val="00453C44"/>
    <w:rsid w:val="00464AFB"/>
    <w:rsid w:val="00464C9B"/>
    <w:rsid w:val="00467436"/>
    <w:rsid w:val="004674D1"/>
    <w:rsid w:val="00470C71"/>
    <w:rsid w:val="00483375"/>
    <w:rsid w:val="00493A51"/>
    <w:rsid w:val="004B5620"/>
    <w:rsid w:val="004B75D1"/>
    <w:rsid w:val="004D6D93"/>
    <w:rsid w:val="005041A5"/>
    <w:rsid w:val="00520545"/>
    <w:rsid w:val="005210F6"/>
    <w:rsid w:val="00532421"/>
    <w:rsid w:val="00533501"/>
    <w:rsid w:val="005517BA"/>
    <w:rsid w:val="00560BD1"/>
    <w:rsid w:val="00564822"/>
    <w:rsid w:val="00576FCE"/>
    <w:rsid w:val="0058737B"/>
    <w:rsid w:val="005A7AA3"/>
    <w:rsid w:val="005B6677"/>
    <w:rsid w:val="005C12D3"/>
    <w:rsid w:val="005D63D8"/>
    <w:rsid w:val="005D66EF"/>
    <w:rsid w:val="005D6992"/>
    <w:rsid w:val="005E55F1"/>
    <w:rsid w:val="005E64E5"/>
    <w:rsid w:val="005F2A23"/>
    <w:rsid w:val="005F5CAE"/>
    <w:rsid w:val="00600D89"/>
    <w:rsid w:val="00620F5D"/>
    <w:rsid w:val="006303C2"/>
    <w:rsid w:val="006308B4"/>
    <w:rsid w:val="006418C6"/>
    <w:rsid w:val="00647240"/>
    <w:rsid w:val="00651865"/>
    <w:rsid w:val="00656E32"/>
    <w:rsid w:val="00660F34"/>
    <w:rsid w:val="00696477"/>
    <w:rsid w:val="006A1610"/>
    <w:rsid w:val="006C4BCA"/>
    <w:rsid w:val="006C74BC"/>
    <w:rsid w:val="006F177A"/>
    <w:rsid w:val="00715DE7"/>
    <w:rsid w:val="00720C5C"/>
    <w:rsid w:val="007218EC"/>
    <w:rsid w:val="00726A14"/>
    <w:rsid w:val="00727DA9"/>
    <w:rsid w:val="00743833"/>
    <w:rsid w:val="00756EBA"/>
    <w:rsid w:val="0078238A"/>
    <w:rsid w:val="007943DA"/>
    <w:rsid w:val="007B4299"/>
    <w:rsid w:val="007C1E50"/>
    <w:rsid w:val="007F0FFC"/>
    <w:rsid w:val="00801513"/>
    <w:rsid w:val="00804CAC"/>
    <w:rsid w:val="008117CD"/>
    <w:rsid w:val="008129BF"/>
    <w:rsid w:val="008139FC"/>
    <w:rsid w:val="00820188"/>
    <w:rsid w:val="00825859"/>
    <w:rsid w:val="0084455B"/>
    <w:rsid w:val="00846343"/>
    <w:rsid w:val="008578E8"/>
    <w:rsid w:val="00874EEA"/>
    <w:rsid w:val="00896514"/>
    <w:rsid w:val="008A063C"/>
    <w:rsid w:val="008A5013"/>
    <w:rsid w:val="008B611D"/>
    <w:rsid w:val="008C3630"/>
    <w:rsid w:val="008C51FD"/>
    <w:rsid w:val="008D46EE"/>
    <w:rsid w:val="008F063F"/>
    <w:rsid w:val="008F1F9F"/>
    <w:rsid w:val="0091248C"/>
    <w:rsid w:val="00936412"/>
    <w:rsid w:val="00942A03"/>
    <w:rsid w:val="009433E0"/>
    <w:rsid w:val="00956BDD"/>
    <w:rsid w:val="0097502D"/>
    <w:rsid w:val="00981861"/>
    <w:rsid w:val="00984FE2"/>
    <w:rsid w:val="009A23EF"/>
    <w:rsid w:val="009B6D73"/>
    <w:rsid w:val="009B6EB1"/>
    <w:rsid w:val="009B7397"/>
    <w:rsid w:val="009E3228"/>
    <w:rsid w:val="009F33F6"/>
    <w:rsid w:val="009F7597"/>
    <w:rsid w:val="00A00CD2"/>
    <w:rsid w:val="00A01AE7"/>
    <w:rsid w:val="00A044CC"/>
    <w:rsid w:val="00A04D0E"/>
    <w:rsid w:val="00A073C3"/>
    <w:rsid w:val="00A31D46"/>
    <w:rsid w:val="00A46681"/>
    <w:rsid w:val="00A5268D"/>
    <w:rsid w:val="00A63873"/>
    <w:rsid w:val="00A82935"/>
    <w:rsid w:val="00A83DDC"/>
    <w:rsid w:val="00A87593"/>
    <w:rsid w:val="00A924D3"/>
    <w:rsid w:val="00A947A5"/>
    <w:rsid w:val="00AB0925"/>
    <w:rsid w:val="00AB1621"/>
    <w:rsid w:val="00AB20F8"/>
    <w:rsid w:val="00AB31A6"/>
    <w:rsid w:val="00AC42AF"/>
    <w:rsid w:val="00AD0747"/>
    <w:rsid w:val="00AD0B24"/>
    <w:rsid w:val="00AD41E8"/>
    <w:rsid w:val="00AE038D"/>
    <w:rsid w:val="00AF23D9"/>
    <w:rsid w:val="00B10070"/>
    <w:rsid w:val="00B11EA0"/>
    <w:rsid w:val="00B144CB"/>
    <w:rsid w:val="00B17C92"/>
    <w:rsid w:val="00B57053"/>
    <w:rsid w:val="00B67DCD"/>
    <w:rsid w:val="00B72BBD"/>
    <w:rsid w:val="00B93883"/>
    <w:rsid w:val="00B958F8"/>
    <w:rsid w:val="00BA6195"/>
    <w:rsid w:val="00BB4E55"/>
    <w:rsid w:val="00BC09C7"/>
    <w:rsid w:val="00BC6C83"/>
    <w:rsid w:val="00BE0B16"/>
    <w:rsid w:val="00BE4999"/>
    <w:rsid w:val="00C05663"/>
    <w:rsid w:val="00C07867"/>
    <w:rsid w:val="00C11686"/>
    <w:rsid w:val="00C132D0"/>
    <w:rsid w:val="00C501AD"/>
    <w:rsid w:val="00C56690"/>
    <w:rsid w:val="00C61E32"/>
    <w:rsid w:val="00C7105C"/>
    <w:rsid w:val="00C7728A"/>
    <w:rsid w:val="00CB7DA9"/>
    <w:rsid w:val="00CD1AE5"/>
    <w:rsid w:val="00CF2762"/>
    <w:rsid w:val="00CF55E5"/>
    <w:rsid w:val="00D02DF0"/>
    <w:rsid w:val="00D05F8E"/>
    <w:rsid w:val="00D11405"/>
    <w:rsid w:val="00D42AE4"/>
    <w:rsid w:val="00D44448"/>
    <w:rsid w:val="00D468B7"/>
    <w:rsid w:val="00D558BC"/>
    <w:rsid w:val="00D65098"/>
    <w:rsid w:val="00D72CEC"/>
    <w:rsid w:val="00D80E98"/>
    <w:rsid w:val="00D8526B"/>
    <w:rsid w:val="00DB0706"/>
    <w:rsid w:val="00DC69E1"/>
    <w:rsid w:val="00DD09E6"/>
    <w:rsid w:val="00DE481E"/>
    <w:rsid w:val="00DE4B49"/>
    <w:rsid w:val="00DE6FD6"/>
    <w:rsid w:val="00E22F45"/>
    <w:rsid w:val="00E34DF5"/>
    <w:rsid w:val="00E453C6"/>
    <w:rsid w:val="00E46F53"/>
    <w:rsid w:val="00E57045"/>
    <w:rsid w:val="00E6143D"/>
    <w:rsid w:val="00E74A7C"/>
    <w:rsid w:val="00E75C07"/>
    <w:rsid w:val="00E8276B"/>
    <w:rsid w:val="00E92BFD"/>
    <w:rsid w:val="00EB0534"/>
    <w:rsid w:val="00ED13B6"/>
    <w:rsid w:val="00ED58B1"/>
    <w:rsid w:val="00ED5C52"/>
    <w:rsid w:val="00EE50FB"/>
    <w:rsid w:val="00EF0A08"/>
    <w:rsid w:val="00F004C6"/>
    <w:rsid w:val="00F23C06"/>
    <w:rsid w:val="00F3309C"/>
    <w:rsid w:val="00F34D82"/>
    <w:rsid w:val="00F40763"/>
    <w:rsid w:val="00F51496"/>
    <w:rsid w:val="00F55D3D"/>
    <w:rsid w:val="00F57BF1"/>
    <w:rsid w:val="00F6702E"/>
    <w:rsid w:val="00F84337"/>
    <w:rsid w:val="00F851E1"/>
    <w:rsid w:val="00FA3C2E"/>
    <w:rsid w:val="00FA6C46"/>
    <w:rsid w:val="00FA70CC"/>
    <w:rsid w:val="00FB11CA"/>
    <w:rsid w:val="00FB47FC"/>
    <w:rsid w:val="00FB6B3C"/>
    <w:rsid w:val="00FC358C"/>
    <w:rsid w:val="00FC7360"/>
    <w:rsid w:val="00FD08CB"/>
    <w:rsid w:val="00FD4191"/>
    <w:rsid w:val="00FE2A57"/>
    <w:rsid w:val="00FF0FA9"/>
    <w:rsid w:val="00FF4D2A"/>
    <w:rsid w:val="00FF5AAD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C8C70"/>
  <w14:defaultImageDpi w14:val="32767"/>
  <w15:chartTrackingRefBased/>
  <w15:docId w15:val="{90EED2B6-1661-425A-80CC-945817A6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5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55B"/>
  </w:style>
  <w:style w:type="paragraph" w:styleId="Footer">
    <w:name w:val="footer"/>
    <w:basedOn w:val="Normal"/>
    <w:link w:val="FooterChar"/>
    <w:uiPriority w:val="99"/>
    <w:unhideWhenUsed/>
    <w:rsid w:val="008445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55B"/>
  </w:style>
  <w:style w:type="character" w:styleId="PageNumber">
    <w:name w:val="page number"/>
    <w:basedOn w:val="DefaultParagraphFont"/>
    <w:uiPriority w:val="99"/>
    <w:semiHidden/>
    <w:unhideWhenUsed/>
    <w:rsid w:val="00846343"/>
  </w:style>
  <w:style w:type="character" w:styleId="Hyperlink">
    <w:name w:val="Hyperlink"/>
    <w:basedOn w:val="DefaultParagraphFont"/>
    <w:uiPriority w:val="99"/>
    <w:unhideWhenUsed/>
    <w:rsid w:val="000C5C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C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C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6477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val="en-US" w:eastAsia="en-GB"/>
    </w:rPr>
  </w:style>
  <w:style w:type="paragraph" w:styleId="ListParagraph">
    <w:name w:val="List Paragraph"/>
    <w:aliases w:val="Premier,Paragraphe de liste1,normal,Bullets,References,Liste 1,Numbered List Paragraph,ReferencesCxSpLast,Paragraphe de liste,Paragrap,Numbered Paragraph,Main numbered paragraph,123 List Paragraph,List Paragraph (numbered (a)),lp1,Normal2"/>
    <w:basedOn w:val="Normal"/>
    <w:link w:val="ListParagraphChar"/>
    <w:uiPriority w:val="34"/>
    <w:qFormat/>
    <w:rsid w:val="00F851E1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ListParagraphChar">
    <w:name w:val="List Paragraph Char"/>
    <w:aliases w:val="Premier Char,Paragraphe de liste1 Char,normal Char,Bullets Char,References Char,Liste 1 Char,Numbered List Paragraph Char,ReferencesCxSpLast Char,Paragraphe de liste Char,Paragrap Char,Numbered Paragraph Char,123 List Paragraph Char"/>
    <w:basedOn w:val="DefaultParagraphFont"/>
    <w:link w:val="ListParagraph"/>
    <w:uiPriority w:val="34"/>
    <w:locked/>
    <w:rsid w:val="00F851E1"/>
    <w:rPr>
      <w:sz w:val="22"/>
      <w:szCs w:val="22"/>
      <w:lang w:val="en-US"/>
    </w:rPr>
  </w:style>
  <w:style w:type="character" w:customStyle="1" w:styleId="FootnoteTextChar1">
    <w:name w:val="Footnote Text Char1"/>
    <w:aliases w:val="Footnote Text Char Char Char,FOOTNOTES Char,fn Char,single space Char Char,single space Char1,Footnote Text1 Char Char,Footnote Text2 Char,Footnote Text Char Char Char1 Char Char,Footnote Text Char Char Char1 Char1,ft Char,ADB Char"/>
    <w:basedOn w:val="DefaultParagraphFont"/>
    <w:link w:val="FootnoteText"/>
    <w:uiPriority w:val="99"/>
    <w:semiHidden/>
    <w:locked/>
    <w:rsid w:val="003E1E80"/>
    <w:rPr>
      <w:rFonts w:ascii="Calibri" w:hAnsi="Calibri" w:cs="Calibri"/>
    </w:rPr>
  </w:style>
  <w:style w:type="paragraph" w:styleId="FootnoteText">
    <w:name w:val="footnote text"/>
    <w:aliases w:val="Footnote Text Char Char,FOOTNOTES,fn,single space Char,single space,Footnote Text1 Char,Footnote Text2,Footnote Text Char Char Char1 Char,Footnote Text Char Char Char1,ft,ADB,footnote text,ALTS FOOTNOTE,Char Char Ch,FA Fu,ALTS FOOTNO,FN,f"/>
    <w:basedOn w:val="Normal"/>
    <w:link w:val="FootnoteTextChar1"/>
    <w:uiPriority w:val="99"/>
    <w:semiHidden/>
    <w:unhideWhenUsed/>
    <w:rsid w:val="003E1E80"/>
    <w:pPr>
      <w:jc w:val="both"/>
    </w:pPr>
    <w:rPr>
      <w:rFonts w:ascii="Calibri" w:hAnsi="Calibri" w:cs="Calibri"/>
    </w:rPr>
  </w:style>
  <w:style w:type="character" w:customStyle="1" w:styleId="FootnoteTextChar">
    <w:name w:val="Footnote Text Char"/>
    <w:basedOn w:val="DefaultParagraphFont"/>
    <w:uiPriority w:val="99"/>
    <w:semiHidden/>
    <w:rsid w:val="003E1E80"/>
    <w:rPr>
      <w:sz w:val="20"/>
      <w:szCs w:val="20"/>
    </w:rPr>
  </w:style>
  <w:style w:type="character" w:styleId="FootnoteReference">
    <w:name w:val="footnote reference"/>
    <w:aliases w:val="ftref,Carattere Char1,Carattere Char Char Carattere Carattere Char Char,referencia nota al pie Char,Footnote Reference Char Char Char,BVI fnr,16 Point,Ref"/>
    <w:basedOn w:val="DefaultParagraphFont"/>
    <w:link w:val="Char2"/>
    <w:uiPriority w:val="99"/>
    <w:unhideWhenUsed/>
    <w:rsid w:val="003E1E80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3E1E80"/>
    <w:pPr>
      <w:spacing w:after="160" w:line="240" w:lineRule="exact"/>
    </w:pPr>
    <w:rPr>
      <w:vertAlign w:val="superscript"/>
    </w:rPr>
  </w:style>
  <w:style w:type="table" w:styleId="GridTable1Light-Accent1">
    <w:name w:val="Grid Table 1 Light Accent 1"/>
    <w:basedOn w:val="TableNormal"/>
    <w:uiPriority w:val="46"/>
    <w:rsid w:val="00BE499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A92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F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F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7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Food Programme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Fiona LITHGOW</cp:lastModifiedBy>
  <cp:revision>9</cp:revision>
  <cp:lastPrinted>2020-06-01T10:57:00Z</cp:lastPrinted>
  <dcterms:created xsi:type="dcterms:W3CDTF">2020-06-11T06:53:00Z</dcterms:created>
  <dcterms:modified xsi:type="dcterms:W3CDTF">2020-06-11T08:44:00Z</dcterms:modified>
</cp:coreProperties>
</file>